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0E3E0">
      <w:pPr>
        <w:pStyle w:val="10"/>
        <w:spacing w:before="120" w:beforeAutospacing="0" w:after="120" w:afterAutospacing="0" w:line="360" w:lineRule="auto"/>
        <w:rPr>
          <w:color w:val="auto"/>
          <w:highlight w:val="none"/>
        </w:rPr>
      </w:pPr>
      <w:r>
        <w:rPr>
          <w:color w:val="auto"/>
          <w:highlight w:val="none"/>
        </w:rPr>
        <w:t> </w:t>
      </w:r>
    </w:p>
    <w:p w14:paraId="0260B6D8">
      <w:pPr>
        <w:pStyle w:val="10"/>
        <w:spacing w:before="120" w:beforeAutospacing="0" w:after="120" w:afterAutospacing="0" w:line="360" w:lineRule="auto"/>
        <w:jc w:val="center"/>
        <w:rPr>
          <w:color w:val="auto"/>
          <w:highlight w:val="none"/>
        </w:rPr>
      </w:pPr>
      <w:r>
        <w:rPr>
          <w:rFonts w:ascii="Arial" w:hAnsi="Arial" w:cs="Arial"/>
          <w:b/>
          <w:color w:val="auto"/>
          <w:sz w:val="84"/>
          <w:szCs w:val="84"/>
          <w:highlight w:val="none"/>
        </w:rPr>
        <w:t>竞争性磋商文件</w:t>
      </w:r>
    </w:p>
    <w:p w14:paraId="32085484">
      <w:pPr>
        <w:pStyle w:val="10"/>
        <w:spacing w:before="120" w:beforeAutospacing="0" w:after="120" w:afterAutospacing="0" w:line="360" w:lineRule="auto"/>
        <w:rPr>
          <w:rFonts w:ascii="Arial" w:hAnsi="Arial" w:cs="Arial"/>
          <w:b/>
          <w:color w:val="auto"/>
          <w:sz w:val="32"/>
          <w:szCs w:val="32"/>
          <w:highlight w:val="none"/>
        </w:rPr>
      </w:pPr>
    </w:p>
    <w:p w14:paraId="3DFA404F">
      <w:pPr>
        <w:pStyle w:val="10"/>
        <w:spacing w:before="120" w:beforeAutospacing="0" w:after="120" w:afterAutospacing="0" w:line="360" w:lineRule="auto"/>
        <w:rPr>
          <w:rFonts w:ascii="Arial" w:hAnsi="Arial" w:cs="Arial"/>
          <w:b/>
          <w:color w:val="auto"/>
          <w:sz w:val="32"/>
          <w:szCs w:val="32"/>
          <w:highlight w:val="none"/>
        </w:rPr>
      </w:pPr>
    </w:p>
    <w:p w14:paraId="4E526098">
      <w:pPr>
        <w:pStyle w:val="10"/>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t>项目名称：</w:t>
      </w:r>
      <w:bookmarkStart w:id="0" w:name="OLE_LINK61"/>
      <w:bookmarkStart w:id="1" w:name="OLE_LINK60"/>
      <w:r>
        <w:rPr>
          <w:rFonts w:hint="eastAsia" w:ascii="Arial" w:hAnsi="Arial" w:cs="Arial"/>
          <w:b/>
          <w:color w:val="auto"/>
          <w:sz w:val="32"/>
          <w:szCs w:val="32"/>
          <w:highlight w:val="none"/>
        </w:rPr>
        <w:t>2026年-2028年盐城市亭湖区行政中心食堂服务外包项目</w:t>
      </w:r>
    </w:p>
    <w:bookmarkEnd w:id="0"/>
    <w:bookmarkEnd w:id="1"/>
    <w:p w14:paraId="39545224">
      <w:pPr>
        <w:pStyle w:val="10"/>
        <w:spacing w:before="120" w:beforeAutospacing="0" w:after="120" w:afterAutospacing="0" w:line="360" w:lineRule="auto"/>
        <w:rPr>
          <w:rFonts w:ascii="Arial" w:hAnsi="Arial" w:cs="Arial"/>
          <w:b/>
          <w:color w:val="auto"/>
          <w:sz w:val="32"/>
          <w:szCs w:val="32"/>
          <w:highlight w:val="none"/>
        </w:rPr>
      </w:pPr>
    </w:p>
    <w:p w14:paraId="5BAD00F2">
      <w:pPr>
        <w:pStyle w:val="10"/>
        <w:spacing w:before="120" w:beforeAutospacing="0" w:after="120" w:afterAutospacing="0" w:line="360" w:lineRule="auto"/>
        <w:rPr>
          <w:color w:val="auto"/>
          <w:highlight w:val="none"/>
        </w:rPr>
      </w:pPr>
      <w:r>
        <w:rPr>
          <w:rFonts w:ascii="Arial" w:hAnsi="Arial" w:cs="Arial"/>
          <w:b/>
          <w:color w:val="auto"/>
          <w:sz w:val="32"/>
          <w:szCs w:val="32"/>
          <w:highlight w:val="none"/>
        </w:rPr>
        <w:t>项目编号：</w:t>
      </w:r>
      <w:r>
        <w:rPr>
          <w:rFonts w:ascii="Times New Roman" w:hAnsi="Times New Roman"/>
          <w:b/>
          <w:color w:val="auto"/>
          <w:sz w:val="30"/>
          <w:szCs w:val="30"/>
          <w:highlight w:val="none"/>
        </w:rPr>
        <w:t xml:space="preserve"> JSZC-320902-SZDL-C2026-0004 </w:t>
      </w:r>
    </w:p>
    <w:p w14:paraId="0FF7014A">
      <w:pPr>
        <w:pStyle w:val="10"/>
        <w:spacing w:beforeAutospacing="0" w:afterAutospacing="0" w:line="360" w:lineRule="auto"/>
        <w:rPr>
          <w:color w:val="auto"/>
          <w:highlight w:val="none"/>
        </w:rPr>
      </w:pPr>
      <w:r>
        <w:rPr>
          <w:color w:val="auto"/>
          <w:highlight w:val="none"/>
        </w:rPr>
        <w:t> </w:t>
      </w:r>
    </w:p>
    <w:p w14:paraId="556DF0DC">
      <w:pPr>
        <w:pStyle w:val="10"/>
        <w:spacing w:beforeAutospacing="0" w:afterAutospacing="0" w:line="360" w:lineRule="auto"/>
        <w:rPr>
          <w:color w:val="auto"/>
          <w:highlight w:val="none"/>
        </w:rPr>
      </w:pPr>
      <w:r>
        <w:rPr>
          <w:color w:val="auto"/>
          <w:highlight w:val="none"/>
        </w:rPr>
        <w:t> </w:t>
      </w:r>
    </w:p>
    <w:p w14:paraId="05502139">
      <w:pPr>
        <w:pStyle w:val="10"/>
        <w:spacing w:beforeAutospacing="0" w:afterAutospacing="0" w:line="360" w:lineRule="auto"/>
        <w:rPr>
          <w:color w:val="auto"/>
          <w:highlight w:val="none"/>
        </w:rPr>
      </w:pPr>
      <w:r>
        <w:rPr>
          <w:color w:val="auto"/>
          <w:highlight w:val="none"/>
        </w:rPr>
        <w:t> </w:t>
      </w:r>
    </w:p>
    <w:p w14:paraId="50085B47">
      <w:pPr>
        <w:pStyle w:val="10"/>
        <w:spacing w:beforeAutospacing="0" w:afterAutospacing="0" w:line="360" w:lineRule="auto"/>
        <w:rPr>
          <w:color w:val="auto"/>
          <w:highlight w:val="none"/>
        </w:rPr>
      </w:pPr>
      <w:r>
        <w:rPr>
          <w:color w:val="auto"/>
          <w:highlight w:val="none"/>
        </w:rPr>
        <w:t> </w:t>
      </w:r>
    </w:p>
    <w:p w14:paraId="07C0ECD4">
      <w:pPr>
        <w:pStyle w:val="10"/>
        <w:spacing w:beforeAutospacing="0" w:afterAutospacing="0" w:line="360" w:lineRule="auto"/>
        <w:rPr>
          <w:color w:val="auto"/>
          <w:highlight w:val="none"/>
        </w:rPr>
      </w:pPr>
      <w:r>
        <w:rPr>
          <w:color w:val="auto"/>
          <w:highlight w:val="none"/>
        </w:rPr>
        <w:t> </w:t>
      </w:r>
    </w:p>
    <w:p w14:paraId="34251635">
      <w:pPr>
        <w:pStyle w:val="10"/>
        <w:spacing w:beforeAutospacing="0" w:afterAutospacing="0" w:line="360" w:lineRule="auto"/>
        <w:rPr>
          <w:color w:val="auto"/>
          <w:highlight w:val="none"/>
        </w:rPr>
      </w:pPr>
      <w:r>
        <w:rPr>
          <w:color w:val="auto"/>
          <w:highlight w:val="none"/>
        </w:rPr>
        <w:t> </w:t>
      </w:r>
    </w:p>
    <w:p w14:paraId="496A847E">
      <w:pPr>
        <w:pStyle w:val="10"/>
        <w:spacing w:beforeAutospacing="0" w:afterAutospacing="0" w:line="360" w:lineRule="auto"/>
        <w:rPr>
          <w:color w:val="auto"/>
          <w:highlight w:val="none"/>
        </w:rPr>
      </w:pPr>
      <w:r>
        <w:rPr>
          <w:color w:val="auto"/>
          <w:highlight w:val="none"/>
        </w:rPr>
        <w:t> </w:t>
      </w:r>
    </w:p>
    <w:p w14:paraId="79A6C0D2">
      <w:pPr>
        <w:pStyle w:val="10"/>
        <w:spacing w:before="120" w:beforeAutospacing="0" w:after="120" w:afterAutospacing="0" w:line="360" w:lineRule="auto"/>
        <w:jc w:val="center"/>
        <w:rPr>
          <w:rFonts w:ascii="Arial" w:hAnsi="Arial" w:cs="Arial"/>
          <w:b/>
          <w:color w:val="auto"/>
          <w:sz w:val="32"/>
          <w:szCs w:val="32"/>
          <w:highlight w:val="none"/>
        </w:rPr>
      </w:pPr>
      <w:r>
        <w:rPr>
          <w:rFonts w:hint="eastAsia" w:ascii="Arial" w:hAnsi="Arial" w:cs="Arial"/>
          <w:b/>
          <w:color w:val="auto"/>
          <w:sz w:val="32"/>
          <w:szCs w:val="32"/>
          <w:highlight w:val="none"/>
        </w:rPr>
        <w:t>盐城市亭湖区机关事务服务中心</w:t>
      </w:r>
    </w:p>
    <w:p w14:paraId="4FD243CB">
      <w:pPr>
        <w:pStyle w:val="10"/>
        <w:spacing w:before="120" w:beforeAutospacing="0" w:after="120" w:afterAutospacing="0" w:line="360" w:lineRule="auto"/>
        <w:ind w:firstLine="643"/>
        <w:jc w:val="center"/>
        <w:rPr>
          <w:color w:val="auto"/>
          <w:highlight w:val="none"/>
        </w:rPr>
      </w:pPr>
      <w:r>
        <w:rPr>
          <w:rFonts w:hint="eastAsia" w:ascii="Arial" w:hAnsi="Arial" w:cs="Arial"/>
          <w:b/>
          <w:color w:val="auto"/>
          <w:sz w:val="32"/>
          <w:szCs w:val="32"/>
          <w:highlight w:val="none"/>
        </w:rPr>
        <w:t>2026</w:t>
      </w:r>
      <w:r>
        <w:rPr>
          <w:rFonts w:ascii="Arial" w:hAnsi="Arial" w:cs="Arial"/>
          <w:b/>
          <w:color w:val="auto"/>
          <w:sz w:val="32"/>
          <w:szCs w:val="32"/>
          <w:highlight w:val="none"/>
        </w:rPr>
        <w:t>年</w:t>
      </w:r>
      <w:r>
        <w:rPr>
          <w:rFonts w:hint="eastAsia" w:ascii="Arial" w:hAnsi="Arial" w:cs="Arial"/>
          <w:b/>
          <w:color w:val="auto"/>
          <w:sz w:val="32"/>
          <w:szCs w:val="32"/>
          <w:highlight w:val="none"/>
        </w:rPr>
        <w:t>5</w:t>
      </w:r>
      <w:r>
        <w:rPr>
          <w:rFonts w:ascii="Arial" w:hAnsi="Arial" w:cs="Arial"/>
          <w:b/>
          <w:color w:val="auto"/>
          <w:sz w:val="32"/>
          <w:szCs w:val="32"/>
          <w:highlight w:val="none"/>
        </w:rPr>
        <w:t>月</w:t>
      </w:r>
    </w:p>
    <w:p w14:paraId="0ECC7718">
      <w:pPr>
        <w:pStyle w:val="10"/>
        <w:spacing w:before="120" w:beforeAutospacing="0" w:after="120" w:afterAutospacing="0" w:line="360" w:lineRule="auto"/>
        <w:rPr>
          <w:color w:val="auto"/>
          <w:highlight w:val="none"/>
        </w:rPr>
      </w:pPr>
      <w:r>
        <w:rPr>
          <w:rFonts w:ascii="Arial" w:hAnsi="Arial" w:cs="Arial"/>
          <w:color w:val="auto"/>
          <w:highlight w:val="none"/>
        </w:rPr>
        <w:t xml:space="preserve">                        </w:t>
      </w:r>
    </w:p>
    <w:p w14:paraId="78C81666">
      <w:pPr>
        <w:pStyle w:val="10"/>
        <w:spacing w:before="120" w:beforeAutospacing="0" w:after="120" w:afterAutospacing="0" w:line="360" w:lineRule="auto"/>
        <w:jc w:val="center"/>
        <w:rPr>
          <w:color w:val="auto"/>
          <w:highlight w:val="none"/>
        </w:rPr>
      </w:pPr>
      <w:r>
        <w:rPr>
          <w:color w:val="auto"/>
          <w:highlight w:val="none"/>
        </w:rPr>
        <w:t> </w:t>
      </w:r>
    </w:p>
    <w:p w14:paraId="11305133">
      <w:pPr>
        <w:pStyle w:val="10"/>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2" w:name="_Toc120614210"/>
      <w:bookmarkStart w:id="3" w:name="_Toc523127445"/>
      <w:bookmarkStart w:id="4" w:name="_Toc479757206"/>
      <w:bookmarkStart w:id="5" w:name="_Toc513029200"/>
      <w:bookmarkStart w:id="6" w:name="_Toc20823272"/>
      <w:bookmarkStart w:id="7" w:name="_Toc16938516"/>
      <w:r>
        <w:rPr>
          <w:rFonts w:ascii="黑体" w:hAnsi="宋体" w:eastAsia="黑体" w:cs="黑体"/>
          <w:b/>
          <w:color w:val="auto"/>
          <w:sz w:val="44"/>
          <w:szCs w:val="44"/>
          <w:highlight w:val="none"/>
        </w:rPr>
        <w:t>总  目  录</w:t>
      </w:r>
      <w:bookmarkEnd w:id="2"/>
      <w:bookmarkEnd w:id="3"/>
      <w:bookmarkEnd w:id="4"/>
      <w:bookmarkEnd w:id="5"/>
      <w:bookmarkEnd w:id="6"/>
      <w:bookmarkEnd w:id="7"/>
    </w:p>
    <w:p w14:paraId="75822FF8">
      <w:pPr>
        <w:pStyle w:val="10"/>
        <w:spacing w:beforeAutospacing="0" w:afterAutospacing="0" w:line="480" w:lineRule="auto"/>
        <w:jc w:val="both"/>
        <w:rPr>
          <w:color w:val="auto"/>
          <w:highlight w:val="none"/>
        </w:rPr>
      </w:pPr>
      <w:r>
        <w:rPr>
          <w:color w:val="auto"/>
          <w:highlight w:val="none"/>
        </w:rPr>
        <w:t> </w:t>
      </w:r>
    </w:p>
    <w:p w14:paraId="3CDDB7A7">
      <w:pPr>
        <w:pStyle w:val="1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竞争性磋商公告…………………………</w:t>
      </w:r>
    </w:p>
    <w:p w14:paraId="602C0AC8">
      <w:pPr>
        <w:pStyle w:val="1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供应商须知…………………………………  </w:t>
      </w:r>
    </w:p>
    <w:p w14:paraId="498F52BB">
      <w:pPr>
        <w:pStyle w:val="1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合同文本……………………………………</w:t>
      </w:r>
    </w:p>
    <w:p w14:paraId="7FB3F79A">
      <w:pPr>
        <w:pStyle w:val="1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4B11686D">
      <w:pPr>
        <w:pStyle w:val="1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评审方法与评审标准………………………</w:t>
      </w:r>
    </w:p>
    <w:p w14:paraId="5BC483A2">
      <w:pPr>
        <w:pStyle w:val="1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响应文件格式………………………………</w:t>
      </w:r>
    </w:p>
    <w:p w14:paraId="0127F939">
      <w:pPr>
        <w:pStyle w:val="10"/>
        <w:spacing w:beforeAutospacing="0" w:afterAutospacing="0"/>
        <w:jc w:val="both"/>
        <w:rPr>
          <w:color w:val="auto"/>
          <w:highlight w:val="none"/>
        </w:rPr>
      </w:pPr>
      <w:r>
        <w:rPr>
          <w:color w:val="auto"/>
          <w:highlight w:val="none"/>
        </w:rPr>
        <w:t> </w:t>
      </w:r>
    </w:p>
    <w:p w14:paraId="2A1A6F4E">
      <w:pPr>
        <w:pStyle w:val="10"/>
        <w:spacing w:beforeAutospacing="0" w:afterAutospacing="0"/>
        <w:jc w:val="both"/>
        <w:rPr>
          <w:color w:val="auto"/>
          <w:highlight w:val="none"/>
        </w:rPr>
      </w:pPr>
      <w:r>
        <w:rPr>
          <w:color w:val="auto"/>
          <w:highlight w:val="none"/>
        </w:rPr>
        <w:t> </w:t>
      </w:r>
    </w:p>
    <w:p w14:paraId="23AF03AC">
      <w:pPr>
        <w:pStyle w:val="10"/>
        <w:spacing w:beforeAutospacing="0" w:afterAutospacing="0"/>
        <w:jc w:val="both"/>
        <w:rPr>
          <w:color w:val="auto"/>
          <w:highlight w:val="none"/>
        </w:rPr>
      </w:pPr>
      <w:r>
        <w:rPr>
          <w:color w:val="auto"/>
          <w:highlight w:val="none"/>
        </w:rPr>
        <w:t> </w:t>
      </w:r>
    </w:p>
    <w:p w14:paraId="120BF48B">
      <w:pPr>
        <w:pStyle w:val="10"/>
        <w:spacing w:beforeAutospacing="0" w:afterAutospacing="0"/>
        <w:jc w:val="both"/>
        <w:rPr>
          <w:color w:val="auto"/>
          <w:highlight w:val="none"/>
        </w:rPr>
      </w:pPr>
      <w:r>
        <w:rPr>
          <w:color w:val="auto"/>
          <w:highlight w:val="none"/>
        </w:rPr>
        <w:t> </w:t>
      </w:r>
    </w:p>
    <w:p w14:paraId="2C822BE6">
      <w:pPr>
        <w:pStyle w:val="10"/>
        <w:spacing w:beforeAutospacing="0" w:afterAutospacing="0"/>
        <w:jc w:val="both"/>
        <w:rPr>
          <w:color w:val="auto"/>
          <w:highlight w:val="none"/>
        </w:rPr>
      </w:pPr>
      <w:r>
        <w:rPr>
          <w:color w:val="auto"/>
          <w:highlight w:val="none"/>
        </w:rPr>
        <w:t> </w:t>
      </w:r>
    </w:p>
    <w:p w14:paraId="4451FE81">
      <w:pPr>
        <w:pStyle w:val="10"/>
        <w:spacing w:beforeAutospacing="0" w:afterAutospacing="0"/>
        <w:jc w:val="both"/>
        <w:rPr>
          <w:color w:val="auto"/>
          <w:highlight w:val="none"/>
        </w:rPr>
      </w:pPr>
      <w:r>
        <w:rPr>
          <w:color w:val="auto"/>
          <w:highlight w:val="none"/>
        </w:rPr>
        <w:t> </w:t>
      </w:r>
    </w:p>
    <w:p w14:paraId="2A439CC2">
      <w:pPr>
        <w:pStyle w:val="10"/>
        <w:spacing w:beforeAutospacing="0" w:afterAutospacing="0"/>
        <w:jc w:val="both"/>
        <w:rPr>
          <w:color w:val="auto"/>
          <w:highlight w:val="none"/>
        </w:rPr>
      </w:pPr>
      <w:r>
        <w:rPr>
          <w:color w:val="auto"/>
          <w:highlight w:val="none"/>
        </w:rPr>
        <w:t> </w:t>
      </w:r>
    </w:p>
    <w:p w14:paraId="48D1D9F8">
      <w:pPr>
        <w:pStyle w:val="10"/>
        <w:spacing w:beforeAutospacing="0" w:afterAutospacing="0"/>
        <w:jc w:val="both"/>
        <w:rPr>
          <w:color w:val="auto"/>
          <w:highlight w:val="none"/>
        </w:rPr>
      </w:pPr>
      <w:r>
        <w:rPr>
          <w:color w:val="auto"/>
          <w:highlight w:val="none"/>
        </w:rPr>
        <w:t> </w:t>
      </w:r>
    </w:p>
    <w:p w14:paraId="47314E59">
      <w:pPr>
        <w:pStyle w:val="10"/>
        <w:spacing w:beforeAutospacing="0" w:afterAutospacing="0"/>
        <w:jc w:val="both"/>
        <w:rPr>
          <w:color w:val="auto"/>
          <w:highlight w:val="none"/>
        </w:rPr>
      </w:pPr>
      <w:r>
        <w:rPr>
          <w:color w:val="auto"/>
          <w:highlight w:val="none"/>
        </w:rPr>
        <w:t> </w:t>
      </w:r>
    </w:p>
    <w:p w14:paraId="7BDB1610">
      <w:pPr>
        <w:pStyle w:val="10"/>
        <w:spacing w:beforeAutospacing="0" w:afterAutospacing="0"/>
        <w:jc w:val="both"/>
        <w:rPr>
          <w:color w:val="auto"/>
          <w:highlight w:val="none"/>
        </w:rPr>
      </w:pPr>
      <w:r>
        <w:rPr>
          <w:color w:val="auto"/>
          <w:highlight w:val="none"/>
        </w:rPr>
        <w:t> </w:t>
      </w:r>
    </w:p>
    <w:p w14:paraId="4B12CA4C">
      <w:pPr>
        <w:pStyle w:val="10"/>
        <w:spacing w:beforeAutospacing="0" w:afterAutospacing="0"/>
        <w:jc w:val="both"/>
        <w:rPr>
          <w:color w:val="auto"/>
          <w:highlight w:val="none"/>
        </w:rPr>
      </w:pPr>
      <w:r>
        <w:rPr>
          <w:color w:val="auto"/>
          <w:highlight w:val="none"/>
        </w:rPr>
        <w:t> </w:t>
      </w:r>
    </w:p>
    <w:p w14:paraId="255E0519">
      <w:pPr>
        <w:pStyle w:val="10"/>
        <w:spacing w:beforeAutospacing="0" w:afterAutospacing="0"/>
        <w:jc w:val="both"/>
        <w:rPr>
          <w:color w:val="auto"/>
          <w:highlight w:val="none"/>
        </w:rPr>
      </w:pPr>
      <w:r>
        <w:rPr>
          <w:color w:val="auto"/>
          <w:highlight w:val="none"/>
        </w:rPr>
        <w:t> </w:t>
      </w:r>
    </w:p>
    <w:p w14:paraId="528070EA">
      <w:pPr>
        <w:pStyle w:val="10"/>
        <w:spacing w:beforeAutospacing="0" w:afterAutospacing="0"/>
        <w:jc w:val="both"/>
        <w:rPr>
          <w:color w:val="auto"/>
          <w:highlight w:val="none"/>
        </w:rPr>
      </w:pPr>
      <w:r>
        <w:rPr>
          <w:color w:val="auto"/>
          <w:highlight w:val="none"/>
        </w:rPr>
        <w:t> </w:t>
      </w:r>
    </w:p>
    <w:p w14:paraId="3788826F">
      <w:pPr>
        <w:pStyle w:val="10"/>
        <w:spacing w:beforeAutospacing="0" w:afterAutospacing="0"/>
        <w:jc w:val="both"/>
        <w:rPr>
          <w:color w:val="auto"/>
          <w:highlight w:val="none"/>
        </w:rPr>
      </w:pPr>
      <w:r>
        <w:rPr>
          <w:color w:val="auto"/>
          <w:highlight w:val="none"/>
        </w:rPr>
        <w:t> </w:t>
      </w:r>
    </w:p>
    <w:p w14:paraId="0491F98F">
      <w:pPr>
        <w:pStyle w:val="10"/>
        <w:spacing w:beforeAutospacing="0" w:afterAutospacing="0"/>
        <w:jc w:val="both"/>
        <w:rPr>
          <w:color w:val="auto"/>
          <w:highlight w:val="none"/>
        </w:rPr>
      </w:pPr>
      <w:r>
        <w:rPr>
          <w:color w:val="auto"/>
          <w:highlight w:val="none"/>
        </w:rPr>
        <w:t> </w:t>
      </w:r>
    </w:p>
    <w:p w14:paraId="484847E3">
      <w:pPr>
        <w:pStyle w:val="10"/>
        <w:spacing w:beforeAutospacing="0" w:afterAutospacing="0"/>
        <w:jc w:val="both"/>
        <w:rPr>
          <w:color w:val="auto"/>
          <w:highlight w:val="none"/>
        </w:rPr>
      </w:pPr>
      <w:r>
        <w:rPr>
          <w:color w:val="auto"/>
          <w:highlight w:val="none"/>
        </w:rPr>
        <w:t> </w:t>
      </w:r>
    </w:p>
    <w:p w14:paraId="38C2EB33">
      <w:pPr>
        <w:pStyle w:val="10"/>
        <w:spacing w:beforeAutospacing="0" w:afterAutospacing="0"/>
        <w:jc w:val="both"/>
        <w:rPr>
          <w:color w:val="auto"/>
          <w:highlight w:val="none"/>
        </w:rPr>
      </w:pPr>
      <w:r>
        <w:rPr>
          <w:color w:val="auto"/>
          <w:highlight w:val="none"/>
        </w:rPr>
        <w:t> </w:t>
      </w:r>
    </w:p>
    <w:p w14:paraId="469DA47E">
      <w:pPr>
        <w:pStyle w:val="10"/>
        <w:spacing w:beforeAutospacing="0" w:afterAutospacing="0"/>
        <w:jc w:val="both"/>
        <w:rPr>
          <w:color w:val="auto"/>
          <w:highlight w:val="none"/>
        </w:rPr>
      </w:pPr>
      <w:r>
        <w:rPr>
          <w:color w:val="auto"/>
          <w:highlight w:val="none"/>
        </w:rPr>
        <w:t> </w:t>
      </w:r>
    </w:p>
    <w:p w14:paraId="187BFE5C">
      <w:pPr>
        <w:pStyle w:val="10"/>
        <w:spacing w:beforeAutospacing="0" w:afterAutospacing="0"/>
        <w:jc w:val="both"/>
        <w:rPr>
          <w:color w:val="auto"/>
          <w:highlight w:val="none"/>
        </w:rPr>
      </w:pPr>
      <w:r>
        <w:rPr>
          <w:color w:val="auto"/>
          <w:highlight w:val="none"/>
        </w:rPr>
        <w:t> </w:t>
      </w:r>
    </w:p>
    <w:p w14:paraId="433CBF8A">
      <w:pPr>
        <w:pStyle w:val="10"/>
        <w:spacing w:beforeAutospacing="0" w:afterAutospacing="0"/>
        <w:jc w:val="both"/>
        <w:rPr>
          <w:color w:val="auto"/>
          <w:highlight w:val="none"/>
        </w:rPr>
      </w:pPr>
      <w:r>
        <w:rPr>
          <w:color w:val="auto"/>
          <w:highlight w:val="none"/>
        </w:rPr>
        <w:t> </w:t>
      </w:r>
    </w:p>
    <w:p w14:paraId="0330D82C">
      <w:pPr>
        <w:pStyle w:val="10"/>
        <w:spacing w:beforeAutospacing="0" w:afterAutospacing="0"/>
        <w:jc w:val="both"/>
        <w:rPr>
          <w:color w:val="auto"/>
          <w:highlight w:val="none"/>
        </w:rPr>
      </w:pPr>
      <w:r>
        <w:rPr>
          <w:color w:val="auto"/>
          <w:highlight w:val="none"/>
        </w:rPr>
        <w:t> </w:t>
      </w:r>
    </w:p>
    <w:p w14:paraId="03764B51">
      <w:pPr>
        <w:pStyle w:val="10"/>
        <w:spacing w:beforeAutospacing="0" w:afterAutospacing="0"/>
        <w:jc w:val="both"/>
        <w:rPr>
          <w:color w:val="auto"/>
          <w:highlight w:val="none"/>
        </w:rPr>
      </w:pPr>
      <w:r>
        <w:rPr>
          <w:color w:val="auto"/>
          <w:highlight w:val="none"/>
        </w:rPr>
        <w:t> </w:t>
      </w:r>
    </w:p>
    <w:p w14:paraId="24137C0A">
      <w:pPr>
        <w:pStyle w:val="10"/>
        <w:spacing w:beforeAutospacing="0" w:afterAutospacing="0"/>
        <w:jc w:val="both"/>
        <w:rPr>
          <w:color w:val="auto"/>
          <w:highlight w:val="none"/>
        </w:rPr>
      </w:pPr>
      <w:r>
        <w:rPr>
          <w:color w:val="auto"/>
          <w:highlight w:val="none"/>
        </w:rPr>
        <w:t> </w:t>
      </w:r>
    </w:p>
    <w:p w14:paraId="3FABF538">
      <w:pPr>
        <w:pStyle w:val="10"/>
        <w:spacing w:beforeAutospacing="0" w:afterAutospacing="0"/>
        <w:jc w:val="both"/>
        <w:rPr>
          <w:color w:val="auto"/>
          <w:highlight w:val="none"/>
        </w:rPr>
      </w:pPr>
      <w:r>
        <w:rPr>
          <w:color w:val="auto"/>
          <w:highlight w:val="none"/>
        </w:rPr>
        <w:t> </w:t>
      </w:r>
    </w:p>
    <w:p w14:paraId="138D5C4A">
      <w:pPr>
        <w:pStyle w:val="10"/>
        <w:spacing w:beforeAutospacing="0" w:afterAutospacing="0"/>
        <w:jc w:val="both"/>
        <w:rPr>
          <w:color w:val="auto"/>
          <w:highlight w:val="none"/>
        </w:rPr>
      </w:pPr>
      <w:r>
        <w:rPr>
          <w:color w:val="auto"/>
          <w:highlight w:val="none"/>
        </w:rPr>
        <w:t> </w:t>
      </w:r>
    </w:p>
    <w:p w14:paraId="32DB1E32">
      <w:pPr>
        <w:pStyle w:val="10"/>
        <w:spacing w:beforeAutospacing="0" w:afterAutospacing="0"/>
        <w:jc w:val="both"/>
        <w:rPr>
          <w:color w:val="auto"/>
          <w:highlight w:val="none"/>
        </w:rPr>
      </w:pPr>
      <w:r>
        <w:rPr>
          <w:color w:val="auto"/>
          <w:highlight w:val="none"/>
        </w:rPr>
        <w:t> </w:t>
      </w:r>
    </w:p>
    <w:p w14:paraId="3ECCCDB2">
      <w:pPr>
        <w:pStyle w:val="10"/>
        <w:spacing w:beforeAutospacing="0" w:afterAutospacing="0"/>
        <w:jc w:val="both"/>
        <w:rPr>
          <w:color w:val="auto"/>
          <w:highlight w:val="none"/>
        </w:rPr>
      </w:pPr>
      <w:r>
        <w:rPr>
          <w:color w:val="auto"/>
          <w:highlight w:val="none"/>
        </w:rPr>
        <w:t> </w:t>
      </w:r>
    </w:p>
    <w:p w14:paraId="2D132B20">
      <w:pPr>
        <w:pStyle w:val="10"/>
        <w:spacing w:beforeAutospacing="0" w:afterAutospacing="0"/>
        <w:jc w:val="both"/>
        <w:rPr>
          <w:color w:val="auto"/>
          <w:highlight w:val="none"/>
        </w:rPr>
      </w:pPr>
      <w:r>
        <w:rPr>
          <w:color w:val="auto"/>
          <w:highlight w:val="none"/>
        </w:rPr>
        <w:t> </w:t>
      </w:r>
    </w:p>
    <w:p w14:paraId="5B8EE21B">
      <w:pPr>
        <w:pStyle w:val="10"/>
        <w:spacing w:beforeAutospacing="0" w:afterAutospacing="0"/>
        <w:jc w:val="both"/>
        <w:rPr>
          <w:color w:val="auto"/>
          <w:highlight w:val="none"/>
        </w:rPr>
      </w:pPr>
      <w:r>
        <w:rPr>
          <w:color w:val="auto"/>
          <w:highlight w:val="none"/>
        </w:rPr>
        <w:t> </w:t>
      </w:r>
    </w:p>
    <w:p w14:paraId="7FB681EC">
      <w:pPr>
        <w:pStyle w:val="10"/>
        <w:keepNext/>
        <w:spacing w:beforeAutospacing="0" w:afterAutospacing="0"/>
        <w:jc w:val="center"/>
        <w:rPr>
          <w:rFonts w:ascii="仿宋" w:hAnsi="仿宋" w:eastAsia="仿宋" w:cs="仿宋"/>
          <w:color w:val="auto"/>
          <w:sz w:val="28"/>
          <w:szCs w:val="28"/>
          <w:highlight w:val="none"/>
        </w:rPr>
      </w:pPr>
      <w:bookmarkStart w:id="8" w:name="_Toc28359086"/>
      <w:r>
        <w:rPr>
          <w:rFonts w:hint="eastAsia" w:ascii="黑体" w:hAnsi="宋体" w:eastAsia="黑体" w:cs="黑体"/>
          <w:color w:val="auto"/>
          <w:sz w:val="44"/>
          <w:szCs w:val="44"/>
          <w:highlight w:val="none"/>
        </w:rPr>
        <w:t>第一章  竞争性磋商公告</w:t>
      </w:r>
    </w:p>
    <w:p w14:paraId="6274C873">
      <w:pPr>
        <w:pStyle w:val="10"/>
        <w:pBdr>
          <w:top w:val="single" w:color="000000" w:sz="4" w:space="0"/>
          <w:left w:val="single" w:color="000000" w:sz="4" w:space="0"/>
          <w:bottom w:val="single" w:color="000000" w:sz="4" w:space="0"/>
          <w:right w:val="single" w:color="000000" w:sz="4" w:space="0"/>
        </w:pBdr>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项目概况</w:t>
      </w:r>
    </w:p>
    <w:p w14:paraId="27845114">
      <w:pPr>
        <w:pStyle w:val="10"/>
        <w:pBdr>
          <w:top w:val="single" w:color="000000" w:sz="4" w:space="0"/>
          <w:left w:val="single" w:color="000000" w:sz="4" w:space="0"/>
          <w:bottom w:val="single" w:color="000000" w:sz="4" w:space="0"/>
          <w:right w:val="single" w:color="000000" w:sz="4" w:space="0"/>
        </w:pBdr>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u w:val="single"/>
        </w:rPr>
        <w:t>2026年-2028年盐城市亭湖区行政中心食堂服务外包项目</w:t>
      </w:r>
      <w:r>
        <w:rPr>
          <w:rFonts w:hint="eastAsia" w:ascii="宋体" w:hAnsi="宋体" w:eastAsia="宋体" w:cs="宋体"/>
          <w:color w:val="auto"/>
          <w:highlight w:val="none"/>
        </w:rPr>
        <w:t>采购项目的潜在供应商应在</w:t>
      </w:r>
      <w:r>
        <w:rPr>
          <w:rFonts w:hint="eastAsia" w:ascii="宋体" w:hAnsi="宋体" w:eastAsia="宋体" w:cs="宋体"/>
          <w:color w:val="auto"/>
          <w:highlight w:val="none"/>
          <w:shd w:val="clear" w:color="auto" w:fill="FFFFFF"/>
        </w:rPr>
        <w:t>“苏采云”系统内免费下载（投标人必须在苏采云系统中获</w:t>
      </w:r>
      <w:r>
        <w:rPr>
          <w:rFonts w:hint="eastAsia" w:ascii="宋体" w:hAnsi="宋体" w:eastAsia="宋体" w:cs="宋体"/>
          <w:color w:val="auto"/>
          <w:highlight w:val="none"/>
        </w:rPr>
        <w:t>取磋商文件，方</w:t>
      </w:r>
      <w:r>
        <w:rPr>
          <w:rFonts w:hint="eastAsia" w:ascii="宋体" w:hAnsi="宋体" w:eastAsia="宋体" w:cs="宋体"/>
          <w:color w:val="auto"/>
          <w:highlight w:val="none"/>
          <w:shd w:val="clear" w:color="auto" w:fill="FFFFFF"/>
        </w:rPr>
        <w:t>能参与政府采购项目）； </w:t>
      </w:r>
      <w:r>
        <w:rPr>
          <w:rFonts w:hint="eastAsia" w:ascii="宋体" w:hAnsi="宋体" w:eastAsia="宋体" w:cs="宋体"/>
          <w:color w:val="auto"/>
          <w:highlight w:val="none"/>
        </w:rPr>
        <w:t>并于</w:t>
      </w:r>
      <w:r>
        <w:rPr>
          <w:rFonts w:hint="eastAsia" w:ascii="宋体" w:hAnsi="宋体" w:eastAsia="宋体" w:cs="宋体"/>
          <w:color w:val="auto"/>
          <w:highlight w:val="none"/>
          <w:u w:val="single"/>
        </w:rPr>
        <w:t>2026年</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月</w:t>
      </w:r>
      <w:r>
        <w:rPr>
          <w:rFonts w:hint="eastAsia" w:ascii="宋体" w:hAnsi="宋体" w:eastAsia="宋体" w:cs="宋体"/>
          <w:color w:val="auto"/>
          <w:highlight w:val="none"/>
          <w:u w:val="single"/>
          <w:lang w:val="en-US" w:eastAsia="zh-CN"/>
        </w:rPr>
        <w:t>8</w:t>
      </w:r>
      <w:r>
        <w:rPr>
          <w:rFonts w:hint="eastAsia" w:ascii="宋体" w:hAnsi="宋体" w:eastAsia="宋体" w:cs="宋体"/>
          <w:color w:val="auto"/>
          <w:highlight w:val="none"/>
          <w:u w:val="single"/>
        </w:rPr>
        <w:t xml:space="preserve"> 日</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hint="eastAsia" w:ascii="宋体" w:hAnsi="宋体" w:eastAsia="宋体" w:cs="宋体"/>
          <w:color w:val="auto"/>
          <w:highlight w:val="none"/>
          <w:u w:val="single"/>
        </w:rPr>
        <w:t>分（</w:t>
      </w:r>
      <w:r>
        <w:rPr>
          <w:rFonts w:hint="eastAsia" w:ascii="宋体" w:hAnsi="宋体" w:eastAsia="宋体" w:cs="宋体"/>
          <w:color w:val="auto"/>
          <w:highlight w:val="none"/>
        </w:rPr>
        <w:t>北京时间）前递交响应文件。</w:t>
      </w:r>
    </w:p>
    <w:p w14:paraId="267D1D99">
      <w:pPr>
        <w:pStyle w:val="10"/>
        <w:keepNext/>
        <w:keepLines/>
        <w:spacing w:beforeAutospacing="0" w:afterAutospacing="0" w:line="460" w:lineRule="exact"/>
        <w:ind w:firstLine="482" w:firstLineChars="200"/>
        <w:jc w:val="both"/>
        <w:rPr>
          <w:rFonts w:ascii="宋体" w:hAnsi="宋体" w:eastAsia="宋体" w:cs="宋体"/>
          <w:color w:val="auto"/>
          <w:highlight w:val="none"/>
        </w:rPr>
      </w:pPr>
      <w:bookmarkStart w:id="9" w:name="_Toc35393790"/>
      <w:bookmarkStart w:id="10" w:name="_Toc35393621"/>
      <w:bookmarkStart w:id="11" w:name="_Toc38985263"/>
      <w:bookmarkStart w:id="12" w:name="_Toc28359002"/>
      <w:bookmarkStart w:id="13" w:name="_Toc28359079"/>
      <w:bookmarkStart w:id="14" w:name="_Hlk24379207"/>
      <w:r>
        <w:rPr>
          <w:rFonts w:hint="eastAsia" w:ascii="宋体" w:hAnsi="宋体" w:eastAsia="宋体" w:cs="宋体"/>
          <w:b/>
          <w:color w:val="auto"/>
          <w:highlight w:val="none"/>
        </w:rPr>
        <w:t>一、项目基本情况</w:t>
      </w:r>
      <w:bookmarkEnd w:id="9"/>
      <w:bookmarkEnd w:id="10"/>
      <w:bookmarkEnd w:id="11"/>
      <w:bookmarkEnd w:id="12"/>
      <w:bookmarkEnd w:id="13"/>
      <w:bookmarkEnd w:id="14"/>
    </w:p>
    <w:p w14:paraId="52DFACCE">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1.项目编号：JSZC-320902-SZDL-C2026-0004</w:t>
      </w:r>
    </w:p>
    <w:p w14:paraId="758597DD">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2.项目名称：2026年-2028年盐城市亭湖区行政中心食堂服务外包项目</w:t>
      </w:r>
    </w:p>
    <w:p w14:paraId="102B552F">
      <w:pPr>
        <w:pStyle w:val="10"/>
        <w:spacing w:beforeAutospacing="0" w:afterAutospacing="0" w:line="460" w:lineRule="exact"/>
        <w:ind w:firstLine="480" w:firstLineChars="20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3.采购方式：竞争性磋商</w:t>
      </w:r>
    </w:p>
    <w:p w14:paraId="0B026A1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shd w:val="clear" w:color="auto" w:fill="FFFFFF"/>
        </w:rPr>
        <w:t>4.预算金</w:t>
      </w:r>
      <w:r>
        <w:rPr>
          <w:rFonts w:hint="eastAsia" w:ascii="宋体" w:hAnsi="宋体" w:eastAsia="宋体" w:cs="宋体"/>
          <w:color w:val="auto"/>
          <w:highlight w:val="none"/>
        </w:rPr>
        <w:t>额</w:t>
      </w:r>
      <w:bookmarkStart w:id="190" w:name="_GoBack"/>
      <w:bookmarkEnd w:id="190"/>
      <w:r>
        <w:rPr>
          <w:rFonts w:hint="eastAsia" w:ascii="宋体" w:hAnsi="宋体" w:eastAsia="宋体" w:cs="宋体"/>
          <w:color w:val="auto"/>
          <w:highlight w:val="none"/>
        </w:rPr>
        <w:t>：</w:t>
      </w:r>
      <w:r>
        <w:rPr>
          <w:rFonts w:ascii="宋体" w:hAnsi="宋体" w:eastAsia="宋体" w:cs="宋体"/>
          <w:color w:val="auto"/>
          <w:highlight w:val="none"/>
        </w:rPr>
        <w:t>3980000.00</w:t>
      </w:r>
      <w:r>
        <w:rPr>
          <w:rFonts w:hint="eastAsia" w:ascii="宋体" w:hAnsi="宋体" w:eastAsia="宋体" w:cs="宋体"/>
          <w:color w:val="auto"/>
          <w:highlight w:val="none"/>
        </w:rPr>
        <w:t xml:space="preserve">元 </w:t>
      </w:r>
    </w:p>
    <w:p w14:paraId="2D8D7142">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5.最高限价：</w:t>
      </w:r>
      <w:r>
        <w:rPr>
          <w:rFonts w:ascii="宋体" w:hAnsi="宋体" w:eastAsia="宋体" w:cs="宋体"/>
          <w:color w:val="auto"/>
          <w:highlight w:val="none"/>
        </w:rPr>
        <w:t>3980000.00</w:t>
      </w:r>
      <w:r>
        <w:rPr>
          <w:rFonts w:hint="eastAsia" w:ascii="宋体" w:hAnsi="宋体" w:eastAsia="宋体" w:cs="宋体"/>
          <w:color w:val="auto"/>
          <w:highlight w:val="none"/>
        </w:rPr>
        <w:t>元</w:t>
      </w:r>
    </w:p>
    <w:p w14:paraId="059D9A09">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6.采购需求（简介）：2026年-2028年盐城市亭湖区行政中心食堂服务外包项目，区行政中心食堂一、二、三楼建筑面积5515.5㎡，服务范围包含早餐、中餐、晚餐及值班人员用餐等，所需食材由采购人提供（详细内容见本磋商文件第四章）</w:t>
      </w:r>
    </w:p>
    <w:p w14:paraId="454D886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7.合同履行期限：两年</w:t>
      </w:r>
    </w:p>
    <w:p w14:paraId="5C6ED1A2">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8.本项目不接受联合体参与磋商。</w:t>
      </w:r>
    </w:p>
    <w:p w14:paraId="6A37C2F4">
      <w:pPr>
        <w:pStyle w:val="10"/>
        <w:keepNext/>
        <w:keepLines/>
        <w:spacing w:beforeAutospacing="0" w:afterAutospacing="0" w:line="460" w:lineRule="exact"/>
        <w:ind w:firstLine="482" w:firstLineChars="200"/>
        <w:jc w:val="both"/>
        <w:rPr>
          <w:rFonts w:ascii="宋体" w:hAnsi="宋体" w:eastAsia="宋体" w:cs="宋体"/>
          <w:color w:val="auto"/>
          <w:highlight w:val="none"/>
        </w:rPr>
      </w:pPr>
      <w:bookmarkStart w:id="15" w:name="_Toc35393622"/>
      <w:bookmarkStart w:id="16" w:name="_Toc28359003"/>
      <w:bookmarkStart w:id="17" w:name="_Toc35393791"/>
      <w:bookmarkStart w:id="18" w:name="_Toc38985264"/>
      <w:bookmarkStart w:id="19" w:name="_Toc28359080"/>
      <w:r>
        <w:rPr>
          <w:rFonts w:hint="eastAsia" w:ascii="宋体" w:hAnsi="宋体" w:eastAsia="宋体" w:cs="宋体"/>
          <w:b/>
          <w:color w:val="auto"/>
          <w:highlight w:val="none"/>
        </w:rPr>
        <w:t>二、申请人的资格要求：</w:t>
      </w:r>
      <w:bookmarkEnd w:id="15"/>
      <w:bookmarkEnd w:id="16"/>
      <w:bookmarkEnd w:id="17"/>
      <w:bookmarkEnd w:id="18"/>
      <w:bookmarkEnd w:id="19"/>
    </w:p>
    <w:p w14:paraId="30FFF969">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1.满足《中华人民共和国政府采购法》第二十二条规定，并提供下列材料：</w:t>
      </w:r>
    </w:p>
    <w:p w14:paraId="3137D08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1.1 法人或者其他组织的营业执照等证明文件</w:t>
      </w:r>
      <w:r>
        <w:rPr>
          <w:rFonts w:hint="eastAsia" w:ascii="宋体" w:hAnsi="宋体" w:eastAsia="宋体" w:cs="宋体"/>
          <w:color w:val="auto"/>
          <w:highlight w:val="none"/>
        </w:rPr>
        <w:t>或</w:t>
      </w:r>
      <w:r>
        <w:rPr>
          <w:rFonts w:hint="eastAsia" w:ascii="宋体" w:hAnsi="宋体" w:eastAsia="宋体" w:cs="宋体"/>
          <w:color w:val="auto"/>
          <w:highlight w:val="none"/>
        </w:rPr>
        <w:t>自然人的身份证明；</w:t>
      </w:r>
    </w:p>
    <w:p w14:paraId="565F4DE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1.2上一年度的财务状况报告（成立不满一年无需提供）；</w:t>
      </w:r>
    </w:p>
    <w:p w14:paraId="3A6CE872">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1.3具备履行合同所必需的设备和专业技术能力的书面声明；</w:t>
      </w:r>
    </w:p>
    <w:p w14:paraId="728D2499">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749232C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1.5参加政府采购活动前3年内在经营活动中没有重大违法记录的书面声明。</w:t>
      </w:r>
    </w:p>
    <w:p w14:paraId="1727190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654AAD8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BDCC76C">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1.8单位负责人为同一人或者存在直接控股、管理关系的不同供应商，不得参加同一合同项下的政府采购活动。</w:t>
      </w:r>
    </w:p>
    <w:p w14:paraId="7B6541D0">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落实政府采购政策需满足的资格要求：根据政府采购计划，本项目专门面向中小企业采购，投标人须为符合《关于印发中小企业划型标准规定的通知》（工信部联企业[2011]300号）文件的中小企业（投标时须提供中小企业声明函）</w:t>
      </w:r>
    </w:p>
    <w:p w14:paraId="2652AA51">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3.本项目的特定资格要求：</w:t>
      </w:r>
    </w:p>
    <w:p w14:paraId="63215B8D">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3.1投标人须是国家工商部门注册的合法餐饮企业、餐饮管理公司，且必须具备有效期内《食品经营许可证》。</w:t>
      </w:r>
    </w:p>
    <w:p w14:paraId="1033E51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3.2厨师长具有国家三级及以上厨师执业资格证书。</w:t>
      </w:r>
    </w:p>
    <w:p w14:paraId="4B42795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3.3投标人自2023年1月1日以来（以合同签订日期为准），承接过类似食堂餐饮服务项目业绩的。</w:t>
      </w:r>
    </w:p>
    <w:p w14:paraId="0D68C2DA">
      <w:pPr>
        <w:pStyle w:val="10"/>
        <w:keepNext/>
        <w:keepLines/>
        <w:spacing w:beforeAutospacing="0" w:afterAutospacing="0" w:line="460" w:lineRule="exact"/>
        <w:ind w:firstLine="482" w:firstLineChars="200"/>
        <w:jc w:val="both"/>
        <w:rPr>
          <w:rFonts w:ascii="宋体" w:hAnsi="宋体" w:eastAsia="宋体" w:cs="宋体"/>
          <w:color w:val="auto"/>
          <w:highlight w:val="none"/>
        </w:rPr>
      </w:pPr>
      <w:r>
        <w:rPr>
          <w:rFonts w:hint="eastAsia" w:ascii="宋体" w:hAnsi="宋体" w:eastAsia="宋体" w:cs="宋体"/>
          <w:b/>
          <w:color w:val="auto"/>
          <w:highlight w:val="none"/>
        </w:rPr>
        <w:t>三、获取磋商文件</w:t>
      </w:r>
    </w:p>
    <w:p w14:paraId="15F91AA5">
      <w:pPr>
        <w:pBdr>
          <w:top w:val="none" w:color="000000" w:sz="0" w:space="0"/>
          <w:left w:val="none" w:color="000000" w:sz="0" w:space="0"/>
          <w:bottom w:val="none" w:color="000000" w:sz="0" w:space="0"/>
          <w:right w:val="none" w:color="000000" w:sz="0" w:space="0"/>
        </w:pBdr>
        <w:spacing w:line="460" w:lineRule="exact"/>
        <w:ind w:firstLine="480" w:firstLineChars="200"/>
        <w:rPr>
          <w:rFonts w:ascii="宋体" w:hAnsi="宋体" w:eastAsia="宋体" w:cs="宋体"/>
          <w:color w:val="auto"/>
          <w:kern w:val="0"/>
          <w:sz w:val="24"/>
          <w:highlight w:val="none"/>
        </w:rPr>
      </w:pPr>
      <w:bookmarkStart w:id="20" w:name="_Toc35393624"/>
      <w:bookmarkStart w:id="21" w:name="_Toc35393793"/>
      <w:bookmarkStart w:id="22" w:name="_Toc38985266"/>
      <w:bookmarkStart w:id="23" w:name="_Toc28359082"/>
      <w:bookmarkStart w:id="24" w:name="_Toc28359005"/>
      <w:r>
        <w:rPr>
          <w:rFonts w:hint="eastAsia" w:ascii="宋体" w:hAnsi="宋体" w:eastAsia="宋体" w:cs="宋体"/>
          <w:color w:val="auto"/>
          <w:sz w:val="24"/>
          <w:highlight w:val="none"/>
        </w:rPr>
        <w:t>1.时间：</w:t>
      </w:r>
      <w:r>
        <w:rPr>
          <w:rFonts w:hint="eastAsia" w:ascii="宋体" w:hAnsi="宋体" w:eastAsia="宋体" w:cs="宋体"/>
          <w:color w:val="auto"/>
          <w:kern w:val="0"/>
          <w:sz w:val="24"/>
          <w:highlight w:val="none"/>
        </w:rPr>
        <w:t>自磋商文件公告发布之日起5个工作日。</w:t>
      </w:r>
      <w:bookmarkEnd w:id="20"/>
      <w:bookmarkEnd w:id="21"/>
      <w:bookmarkEnd w:id="22"/>
      <w:bookmarkEnd w:id="23"/>
      <w:bookmarkEnd w:id="24"/>
    </w:p>
    <w:p w14:paraId="3FE7E4A2">
      <w:pPr>
        <w:widowControl/>
        <w:spacing w:line="460" w:lineRule="exact"/>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2.地点：“苏采云”系统内免费下载（投标人必须在苏采云系统中获取磋商文件，方能参与政府采购项目）；</w:t>
      </w:r>
    </w:p>
    <w:p w14:paraId="1CD7F0EF">
      <w:pPr>
        <w:widowControl/>
        <w:spacing w:line="460" w:lineRule="exact"/>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3.方式：本项目采用网上注册登记方式。 </w:t>
      </w:r>
    </w:p>
    <w:p w14:paraId="51A260B9">
      <w:pPr>
        <w:widowControl/>
        <w:spacing w:line="460" w:lineRule="exac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4.售价：0元</w:t>
      </w:r>
    </w:p>
    <w:p w14:paraId="42C6071C">
      <w:pPr>
        <w:pStyle w:val="10"/>
        <w:keepNext/>
        <w:keepLines/>
        <w:spacing w:beforeAutospacing="0" w:afterAutospacing="0" w:line="460" w:lineRule="exact"/>
        <w:ind w:firstLine="482" w:firstLineChars="200"/>
        <w:jc w:val="both"/>
        <w:rPr>
          <w:rFonts w:ascii="宋体" w:hAnsi="宋体" w:eastAsia="宋体" w:cs="宋体"/>
          <w:color w:val="auto"/>
          <w:highlight w:val="none"/>
        </w:rPr>
      </w:pPr>
      <w:r>
        <w:rPr>
          <w:rFonts w:hint="eastAsia" w:ascii="宋体" w:hAnsi="宋体" w:eastAsia="宋体" w:cs="宋体"/>
          <w:b/>
          <w:color w:val="auto"/>
          <w:highlight w:val="none"/>
        </w:rPr>
        <w:t>四、响应文件提交</w:t>
      </w:r>
    </w:p>
    <w:p w14:paraId="57781F67">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1.截止时间：</w:t>
      </w:r>
      <w:r>
        <w:rPr>
          <w:rFonts w:hint="eastAsia" w:ascii="宋体" w:hAnsi="宋体" w:eastAsia="宋体" w:cs="宋体"/>
          <w:color w:val="auto"/>
          <w:highlight w:val="none"/>
          <w:u w:val="single"/>
        </w:rPr>
        <w:t>2026年</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月</w:t>
      </w:r>
      <w:r>
        <w:rPr>
          <w:rFonts w:hint="eastAsia" w:ascii="宋体" w:hAnsi="宋体" w:eastAsia="宋体" w:cs="宋体"/>
          <w:color w:val="auto"/>
          <w:highlight w:val="none"/>
          <w:u w:val="single"/>
          <w:lang w:val="en-US" w:eastAsia="zh-CN"/>
        </w:rPr>
        <w:t>8</w:t>
      </w:r>
      <w:r>
        <w:rPr>
          <w:rFonts w:hint="eastAsia" w:ascii="宋体" w:hAnsi="宋体" w:eastAsia="宋体" w:cs="宋体"/>
          <w:color w:val="auto"/>
          <w:highlight w:val="none"/>
          <w:u w:val="single"/>
        </w:rPr>
        <w:t xml:space="preserve"> 日</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hint="eastAsia" w:ascii="宋体" w:hAnsi="宋体" w:eastAsia="宋体" w:cs="宋体"/>
          <w:color w:val="auto"/>
          <w:highlight w:val="none"/>
          <w:u w:val="single"/>
        </w:rPr>
        <w:t>分</w:t>
      </w:r>
      <w:r>
        <w:rPr>
          <w:rFonts w:hint="eastAsia" w:ascii="宋体" w:hAnsi="宋体" w:eastAsia="宋体" w:cs="宋体"/>
          <w:color w:val="auto"/>
          <w:highlight w:val="none"/>
        </w:rPr>
        <w:t>（北京时间）。</w:t>
      </w:r>
    </w:p>
    <w:p w14:paraId="21BA548A">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2.地点：苏采云“不见面”开标大厅 。</w:t>
      </w:r>
    </w:p>
    <w:p w14:paraId="24D6D9FB">
      <w:pPr>
        <w:pStyle w:val="10"/>
        <w:keepNext/>
        <w:keepLines/>
        <w:spacing w:beforeAutospacing="0" w:afterAutospacing="0" w:line="460" w:lineRule="exact"/>
        <w:ind w:firstLine="482" w:firstLineChars="200"/>
        <w:jc w:val="both"/>
        <w:rPr>
          <w:rFonts w:ascii="宋体" w:hAnsi="宋体" w:eastAsia="宋体" w:cs="宋体"/>
          <w:b/>
          <w:color w:val="auto"/>
          <w:highlight w:val="none"/>
        </w:rPr>
      </w:pPr>
      <w:bookmarkStart w:id="25" w:name="_Toc38985268"/>
      <w:bookmarkStart w:id="26" w:name="_Toc35393626"/>
      <w:bookmarkStart w:id="27" w:name="_Toc35393795"/>
      <w:r>
        <w:rPr>
          <w:rFonts w:hint="eastAsia" w:ascii="宋体" w:hAnsi="宋体" w:eastAsia="宋体" w:cs="宋体"/>
          <w:b/>
          <w:color w:val="auto"/>
          <w:highlight w:val="none"/>
        </w:rPr>
        <w:t>五、开启</w:t>
      </w:r>
    </w:p>
    <w:p w14:paraId="474FF7F3">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1.时间：</w:t>
      </w:r>
      <w:r>
        <w:rPr>
          <w:rFonts w:hint="eastAsia" w:ascii="宋体" w:hAnsi="宋体" w:eastAsia="宋体" w:cs="宋体"/>
          <w:color w:val="auto"/>
          <w:highlight w:val="none"/>
          <w:u w:val="single"/>
        </w:rPr>
        <w:t>2026年</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月</w:t>
      </w:r>
      <w:r>
        <w:rPr>
          <w:rFonts w:hint="eastAsia" w:ascii="宋体" w:hAnsi="宋体" w:eastAsia="宋体" w:cs="宋体"/>
          <w:color w:val="auto"/>
          <w:highlight w:val="none"/>
          <w:u w:val="single"/>
          <w:lang w:val="en-US" w:eastAsia="zh-CN"/>
        </w:rPr>
        <w:t>8</w:t>
      </w:r>
      <w:r>
        <w:rPr>
          <w:rFonts w:hint="eastAsia" w:ascii="宋体" w:hAnsi="宋体" w:eastAsia="宋体" w:cs="宋体"/>
          <w:color w:val="auto"/>
          <w:highlight w:val="none"/>
          <w:u w:val="single"/>
        </w:rPr>
        <w:t xml:space="preserve"> 日</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hint="eastAsia" w:ascii="宋体" w:hAnsi="宋体" w:eastAsia="宋体" w:cs="宋体"/>
          <w:color w:val="auto"/>
          <w:highlight w:val="none"/>
          <w:u w:val="single"/>
        </w:rPr>
        <w:t>分</w:t>
      </w:r>
      <w:r>
        <w:rPr>
          <w:rFonts w:hint="eastAsia" w:ascii="宋体" w:hAnsi="宋体" w:eastAsia="宋体" w:cs="宋体"/>
          <w:color w:val="auto"/>
          <w:highlight w:val="none"/>
        </w:rPr>
        <w:t>（北京时间）。</w:t>
      </w:r>
      <w:bookmarkEnd w:id="25"/>
      <w:bookmarkEnd w:id="26"/>
      <w:bookmarkEnd w:id="27"/>
    </w:p>
    <w:p w14:paraId="077143D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2.地点：苏采云“不见面”开标大厅 。</w:t>
      </w:r>
    </w:p>
    <w:p w14:paraId="07D074C3">
      <w:pPr>
        <w:pStyle w:val="4"/>
        <w:widowControl/>
        <w:shd w:val="clear" w:color="auto" w:fill="FFFFFF"/>
        <w:spacing w:beforeAutospacing="0" w:afterAutospacing="0" w:line="460" w:lineRule="exact"/>
        <w:ind w:firstLine="482" w:firstLineChars="200"/>
        <w:jc w:val="both"/>
        <w:rPr>
          <w:rFonts w:hint="default" w:cs="宋体"/>
          <w:bCs w:val="0"/>
          <w:color w:val="auto"/>
          <w:sz w:val="24"/>
          <w:szCs w:val="24"/>
          <w:highlight w:val="none"/>
        </w:rPr>
      </w:pPr>
      <w:bookmarkStart w:id="28" w:name="_Toc28359094"/>
      <w:r>
        <w:rPr>
          <w:rFonts w:cs="宋体"/>
          <w:bCs w:val="0"/>
          <w:color w:val="auto"/>
          <w:sz w:val="24"/>
          <w:szCs w:val="24"/>
          <w:highlight w:val="none"/>
        </w:rPr>
        <w:t>六、公告期限</w:t>
      </w:r>
      <w:bookmarkEnd w:id="28"/>
    </w:p>
    <w:p w14:paraId="3E485BB2">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自本公告发布之日起3个工作日。</w:t>
      </w:r>
    </w:p>
    <w:p w14:paraId="3718DB75">
      <w:pPr>
        <w:pStyle w:val="10"/>
        <w:keepNext/>
        <w:keepLines/>
        <w:spacing w:beforeAutospacing="0" w:afterAutospacing="0" w:line="460" w:lineRule="exact"/>
        <w:ind w:firstLine="482" w:firstLineChars="200"/>
        <w:jc w:val="both"/>
        <w:rPr>
          <w:rFonts w:ascii="宋体" w:hAnsi="宋体" w:eastAsia="宋体" w:cs="宋体"/>
          <w:color w:val="auto"/>
          <w:highlight w:val="none"/>
        </w:rPr>
      </w:pPr>
      <w:r>
        <w:rPr>
          <w:rFonts w:hint="eastAsia" w:ascii="宋体" w:hAnsi="宋体" w:eastAsia="宋体" w:cs="宋体"/>
          <w:b/>
          <w:color w:val="auto"/>
          <w:highlight w:val="none"/>
        </w:rPr>
        <w:t>七、其他补充事宜</w:t>
      </w:r>
    </w:p>
    <w:p w14:paraId="7317D8B6">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bookmarkStart w:id="29" w:name="_Toc28359018"/>
      <w:r>
        <w:rPr>
          <w:rFonts w:hint="eastAsia" w:ascii="宋体" w:hAnsi="宋体" w:eastAsia="宋体" w:cs="宋体"/>
          <w:color w:val="auto"/>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ACEF3D6">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68E2D381">
      <w:pPr>
        <w:widowControl/>
        <w:spacing w:line="460" w:lineRule="exact"/>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2.潜在供应商访问电子招标响应交易平台的网络地址和方法： </w:t>
      </w:r>
    </w:p>
    <w:p w14:paraId="4731B584">
      <w:pPr>
        <w:widowControl/>
        <w:spacing w:line="460" w:lineRule="exact"/>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3C9E7C20">
      <w:pPr>
        <w:widowControl/>
        <w:spacing w:line="460" w:lineRule="exact"/>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2.2 潜在投标人访问“苏采云”系统方法：江苏省政府采购网首页-“苏采云”链接。 </w:t>
      </w:r>
    </w:p>
    <w:p w14:paraId="26C5B37D">
      <w:pPr>
        <w:widowControl/>
        <w:spacing w:line="460" w:lineRule="exact"/>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2.3 磋商文件（后缀名为“.kedt”）、供应商操作手册及政府采购客户端 工具可通过“苏采云”系统相应链接进行下载。 </w:t>
      </w:r>
    </w:p>
    <w:p w14:paraId="122A2942">
      <w:pPr>
        <w:widowControl/>
        <w:spacing w:line="460" w:lineRule="exact"/>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2.4 采购代理机构将数据电文形式的磋商文件加载至“苏采云”系统，供潜在供应商下载或者查阅。 </w:t>
      </w:r>
    </w:p>
    <w:p w14:paraId="0638E762">
      <w:pPr>
        <w:widowControl/>
        <w:spacing w:line="460" w:lineRule="exact"/>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2.5 请潜在投标单位提前安装相应的控件（详见《“苏采云”系统供应商操作手册》）并使用谷歌浏览器登录“苏采云”系统参与不见面开评标。 </w:t>
      </w:r>
    </w:p>
    <w:p w14:paraId="74E6B898">
      <w:pPr>
        <w:widowControl/>
        <w:spacing w:line="460" w:lineRule="exact"/>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如潜在投标人未按上述要求操作，将自行承担所产生的风险。</w:t>
      </w:r>
    </w:p>
    <w:p w14:paraId="741C0DCB">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 有关本次磋商的事项若存在变动或修改，敬请及时关注采购人在“中国政府采购网”“江苏政府采购网”“盐城市政府采购网”发布的更正公告。</w:t>
      </w:r>
    </w:p>
    <w:p w14:paraId="6B6B6688">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4. 本次磋商不收取磋商保证金，不收取质量保证金。</w:t>
      </w:r>
    </w:p>
    <w:p w14:paraId="47A845C6">
      <w:pPr>
        <w:pStyle w:val="4"/>
        <w:widowControl/>
        <w:shd w:val="clear" w:color="auto" w:fill="FFFFFF"/>
        <w:spacing w:beforeAutospacing="0" w:afterAutospacing="0" w:line="460" w:lineRule="exact"/>
        <w:ind w:firstLine="482" w:firstLineChars="200"/>
        <w:jc w:val="both"/>
        <w:rPr>
          <w:rFonts w:hint="default" w:cs="宋体"/>
          <w:bCs w:val="0"/>
          <w:color w:val="auto"/>
          <w:sz w:val="24"/>
          <w:szCs w:val="24"/>
          <w:highlight w:val="none"/>
        </w:rPr>
      </w:pPr>
      <w:r>
        <w:rPr>
          <w:rFonts w:cs="宋体"/>
          <w:bCs w:val="0"/>
          <w:color w:val="auto"/>
          <w:sz w:val="24"/>
          <w:szCs w:val="24"/>
          <w:highlight w:val="none"/>
        </w:rPr>
        <w:t>八、凡对本次采购提出询问，请按以下方式联系。</w:t>
      </w:r>
      <w:bookmarkEnd w:id="29"/>
    </w:p>
    <w:p w14:paraId="5E124BC4">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1.采购人信息</w:t>
      </w:r>
    </w:p>
    <w:p w14:paraId="4EC9ACA3">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 xml:space="preserve">名 称：盐城市亭湖区机关事务服务中心 </w:t>
      </w:r>
    </w:p>
    <w:p w14:paraId="6AEEDB22">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 xml:space="preserve">地址：盐城市青年东路55号  </w:t>
      </w:r>
    </w:p>
    <w:p w14:paraId="3FDCA078">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 xml:space="preserve">联系人：王先生              </w:t>
      </w:r>
    </w:p>
    <w:p w14:paraId="060E616F">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联系方式：</w:t>
      </w:r>
      <w:r>
        <w:rPr>
          <w:rFonts w:ascii="宋体" w:hAnsi="宋体" w:eastAsia="宋体" w:cs="宋体"/>
          <w:color w:val="auto"/>
          <w:highlight w:val="none"/>
        </w:rPr>
        <w:t>15861980812</w:t>
      </w:r>
    </w:p>
    <w:p w14:paraId="0FD1AEED">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2.采购代理机构信息</w:t>
      </w:r>
    </w:p>
    <w:p w14:paraId="4B6CC1F3">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bookmarkStart w:id="30" w:name="_Toc28359021"/>
      <w:r>
        <w:rPr>
          <w:rFonts w:hint="eastAsia" w:ascii="宋体" w:hAnsi="宋体" w:eastAsia="宋体" w:cs="宋体"/>
          <w:color w:val="auto"/>
          <w:highlight w:val="none"/>
        </w:rPr>
        <w:t>名 称：盐城市招标代理有限公司</w:t>
      </w:r>
    </w:p>
    <w:p w14:paraId="7B87FB29">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地 址：盐城市青年路钱江财富广场西区A座4楼</w:t>
      </w:r>
    </w:p>
    <w:p w14:paraId="41F16E1D">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 xml:space="preserve">联系人：吴女士                     </w:t>
      </w:r>
    </w:p>
    <w:p w14:paraId="0A6F4677">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联系方式：</w:t>
      </w:r>
      <w:bookmarkStart w:id="31" w:name="_Toc28359010"/>
      <w:bookmarkStart w:id="32" w:name="_Toc28359087"/>
      <w:r>
        <w:rPr>
          <w:rFonts w:hint="eastAsia" w:ascii="宋体" w:hAnsi="宋体" w:eastAsia="宋体" w:cs="宋体"/>
          <w:color w:val="auto"/>
          <w:highlight w:val="none"/>
        </w:rPr>
        <w:t>0515-89803566  15950298580       </w:t>
      </w:r>
      <w:bookmarkEnd w:id="31"/>
      <w:bookmarkEnd w:id="32"/>
      <w:r>
        <w:rPr>
          <w:rFonts w:hint="eastAsia" w:ascii="宋体" w:hAnsi="宋体" w:eastAsia="宋体" w:cs="宋体"/>
          <w:color w:val="auto"/>
          <w:highlight w:val="none"/>
        </w:rPr>
        <w:t xml:space="preserve">            </w:t>
      </w:r>
    </w:p>
    <w:p w14:paraId="5BAF3E5B">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w:t>
      </w:r>
      <w:bookmarkEnd w:id="30"/>
      <w:r>
        <w:rPr>
          <w:rFonts w:hint="eastAsia" w:ascii="宋体" w:hAnsi="宋体" w:eastAsia="宋体" w:cs="宋体"/>
          <w:color w:val="auto"/>
          <w:highlight w:val="none"/>
        </w:rPr>
        <w:t>项目联系方式</w:t>
      </w:r>
    </w:p>
    <w:p w14:paraId="4F6DC578">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项目联系人：</w:t>
      </w:r>
      <w:r>
        <w:rPr>
          <w:rFonts w:hint="eastAsia" w:ascii="宋体" w:hAnsi="宋体" w:eastAsia="宋体" w:cs="宋体"/>
          <w:color w:val="auto"/>
          <w:highlight w:val="none"/>
        </w:rPr>
        <w:t>王先生</w:t>
      </w:r>
    </w:p>
    <w:p w14:paraId="5AA0D518">
      <w:pPr>
        <w:pStyle w:val="10"/>
        <w:widowControl/>
        <w:shd w:val="clear" w:color="auto" w:fill="FFFFFF"/>
        <w:spacing w:beforeAutospacing="0" w:afterAutospacing="0" w:line="460" w:lineRule="exact"/>
        <w:ind w:firstLine="480" w:firstLineChars="20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电　　 话：</w:t>
      </w:r>
      <w:r>
        <w:rPr>
          <w:rFonts w:ascii="宋体" w:hAnsi="宋体" w:eastAsia="宋体" w:cs="宋体"/>
          <w:color w:val="auto"/>
          <w:highlight w:val="none"/>
        </w:rPr>
        <w:t>15861980812</w:t>
      </w:r>
    </w:p>
    <w:p w14:paraId="37C9F595">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1C0812BF">
      <w:pPr>
        <w:pStyle w:val="10"/>
        <w:spacing w:beforeAutospacing="0" w:afterAutospacing="0"/>
        <w:ind w:right="840"/>
        <w:jc w:val="center"/>
        <w:rPr>
          <w:color w:val="auto"/>
          <w:highlight w:val="none"/>
        </w:rPr>
      </w:pPr>
      <w:bookmarkStart w:id="33" w:name="_Toc120614211"/>
      <w:r>
        <w:rPr>
          <w:rFonts w:hint="eastAsia" w:ascii="黑体" w:hAnsi="宋体" w:eastAsia="黑体" w:cs="黑体"/>
          <w:b/>
          <w:color w:val="auto"/>
          <w:sz w:val="44"/>
          <w:szCs w:val="44"/>
          <w:highlight w:val="none"/>
        </w:rPr>
        <w:t xml:space="preserve">第二章  </w:t>
      </w:r>
      <w:bookmarkEnd w:id="33"/>
      <w:r>
        <w:rPr>
          <w:rFonts w:hint="eastAsia" w:ascii="黑体" w:hAnsi="宋体" w:eastAsia="黑体" w:cs="黑体"/>
          <w:b/>
          <w:color w:val="auto"/>
          <w:sz w:val="44"/>
          <w:szCs w:val="44"/>
          <w:highlight w:val="none"/>
        </w:rPr>
        <w:t>供应商须知</w:t>
      </w:r>
    </w:p>
    <w:p w14:paraId="52D44FEC">
      <w:pPr>
        <w:pStyle w:val="10"/>
        <w:keepNext/>
        <w:keepLines/>
        <w:spacing w:beforeAutospacing="0" w:afterAutospacing="0" w:line="460" w:lineRule="exact"/>
        <w:ind w:firstLine="482" w:firstLineChars="200"/>
        <w:jc w:val="both"/>
        <w:rPr>
          <w:rFonts w:ascii="宋体" w:hAnsi="宋体" w:eastAsia="宋体" w:cs="宋体"/>
          <w:color w:val="auto"/>
          <w:highlight w:val="none"/>
        </w:rPr>
      </w:pPr>
      <w:bookmarkStart w:id="34" w:name="_Toc513029203"/>
      <w:bookmarkStart w:id="35" w:name="_Toc16938519"/>
      <w:bookmarkStart w:id="36" w:name="_Toc20823275"/>
      <w:bookmarkStart w:id="37" w:name="_Toc120614214"/>
      <w:r>
        <w:rPr>
          <w:rFonts w:hint="eastAsia" w:ascii="宋体" w:hAnsi="宋体" w:eastAsia="宋体" w:cs="宋体"/>
          <w:b/>
          <w:color w:val="auto"/>
          <w:highlight w:val="none"/>
        </w:rPr>
        <w:t>一、总则</w:t>
      </w:r>
      <w:bookmarkEnd w:id="34"/>
      <w:bookmarkEnd w:id="35"/>
      <w:bookmarkEnd w:id="36"/>
      <w:bookmarkEnd w:id="37"/>
    </w:p>
    <w:p w14:paraId="3AA919CD">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38" w:name="_Toc20823276"/>
      <w:bookmarkStart w:id="39" w:name="_Toc458694821"/>
      <w:bookmarkStart w:id="40" w:name="_Toc513029204"/>
      <w:bookmarkStart w:id="41" w:name="_Toc16938520"/>
      <w:bookmarkStart w:id="42" w:name="_Hlt16619475"/>
      <w:r>
        <w:rPr>
          <w:rFonts w:hint="eastAsia" w:ascii="宋体" w:hAnsi="宋体" w:eastAsia="宋体" w:cs="宋体"/>
          <w:color w:val="auto"/>
          <w:highlight w:val="none"/>
        </w:rPr>
        <w:t>1</w:t>
      </w:r>
      <w:bookmarkEnd w:id="38"/>
      <w:r>
        <w:rPr>
          <w:rFonts w:hint="eastAsia" w:ascii="宋体" w:hAnsi="宋体" w:eastAsia="宋体" w:cs="宋体"/>
          <w:color w:val="auto"/>
          <w:highlight w:val="none"/>
        </w:rPr>
        <w:t>、采购方式</w:t>
      </w:r>
      <w:bookmarkEnd w:id="39"/>
      <w:bookmarkEnd w:id="40"/>
      <w:bookmarkEnd w:id="41"/>
    </w:p>
    <w:p w14:paraId="4F29A25A">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1.1 本次政府采购活动采取竞争性磋商(以下简称磋商)方式，本磋商文件仅适用于磋商公告中所述项目。</w:t>
      </w:r>
    </w:p>
    <w:p w14:paraId="66C24DC5">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43" w:name="_Toc513029205"/>
      <w:bookmarkStart w:id="44" w:name="_Toc16938521"/>
      <w:bookmarkStart w:id="45" w:name="_Toc20823277"/>
      <w:r>
        <w:rPr>
          <w:rFonts w:hint="eastAsia" w:ascii="宋体" w:hAnsi="宋体" w:eastAsia="宋体" w:cs="宋体"/>
          <w:color w:val="auto"/>
          <w:highlight w:val="none"/>
        </w:rPr>
        <w:t>2、合格的</w:t>
      </w:r>
      <w:bookmarkEnd w:id="43"/>
      <w:bookmarkEnd w:id="44"/>
      <w:bookmarkEnd w:id="45"/>
      <w:r>
        <w:rPr>
          <w:rFonts w:hint="eastAsia" w:ascii="宋体" w:hAnsi="宋体" w:eastAsia="宋体" w:cs="宋体"/>
          <w:color w:val="auto"/>
          <w:highlight w:val="none"/>
        </w:rPr>
        <w:t>供应商</w:t>
      </w:r>
    </w:p>
    <w:p w14:paraId="1A196F40">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2.1满足磋商公告中供应商资格要求的规定。</w:t>
      </w:r>
    </w:p>
    <w:p w14:paraId="76E76C1D">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2.2 满足本磋商文件实质性要求和条件的规定。</w:t>
      </w:r>
    </w:p>
    <w:p w14:paraId="4170807A">
      <w:pPr>
        <w:spacing w:line="460" w:lineRule="exact"/>
        <w:ind w:firstLine="480" w:firstLineChars="200"/>
        <w:rPr>
          <w:rFonts w:ascii="方正魏碑_GBK" w:hAnsi="方正魏碑_GBK" w:eastAsia="方正魏碑_GBK" w:cs="方正魏碑_GBK"/>
          <w:color w:val="auto"/>
          <w:sz w:val="24"/>
          <w:szCs w:val="21"/>
          <w:highlight w:val="none"/>
        </w:rPr>
      </w:pPr>
      <w:bookmarkStart w:id="46" w:name="_Toc20823278"/>
      <w:bookmarkStart w:id="47" w:name="_Toc16938522"/>
      <w:bookmarkStart w:id="48" w:name="_Toc513029206"/>
      <w:bookmarkStart w:id="49" w:name="_Toc20823279"/>
      <w:bookmarkStart w:id="50" w:name="_Toc16938523"/>
      <w:bookmarkStart w:id="51" w:name="_Toc513029207"/>
      <w:bookmarkStart w:id="52" w:name="_Toc462564067"/>
      <w:r>
        <w:rPr>
          <w:rFonts w:hint="eastAsia" w:ascii="方正魏碑_GBK" w:hAnsi="方正魏碑_GBK" w:eastAsia="方正魏碑_GBK" w:cs="方正魏碑_GBK"/>
          <w:color w:val="auto"/>
          <w:sz w:val="24"/>
          <w:szCs w:val="21"/>
          <w:highlight w:val="none"/>
        </w:rPr>
        <w:t>3、适用法律</w:t>
      </w:r>
      <w:bookmarkEnd w:id="46"/>
      <w:bookmarkEnd w:id="47"/>
      <w:bookmarkEnd w:id="48"/>
      <w:r>
        <w:rPr>
          <w:rFonts w:hint="eastAsia" w:ascii="方正魏碑_GBK" w:hAnsi="方正魏碑_GBK" w:eastAsia="方正魏碑_GBK" w:cs="方正魏碑_GBK"/>
          <w:color w:val="auto"/>
          <w:sz w:val="24"/>
          <w:szCs w:val="21"/>
          <w:highlight w:val="none"/>
        </w:rPr>
        <w:t>和标准</w:t>
      </w:r>
    </w:p>
    <w:p w14:paraId="60757E9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3.1 本次招标及由此产生的合同受中华人民共和国有关的法律法规制约和保护。</w:t>
      </w:r>
    </w:p>
    <w:p w14:paraId="7F9D1500">
      <w:pPr>
        <w:spacing w:line="460" w:lineRule="exact"/>
        <w:ind w:firstLine="480" w:firstLineChars="200"/>
        <w:rPr>
          <w:rFonts w:ascii="宋体" w:hAnsi="宋体" w:eastAsia="宋体" w:cs="宋体"/>
          <w:color w:val="auto"/>
          <w:sz w:val="24"/>
          <w:highlight w:val="none"/>
        </w:rPr>
      </w:pPr>
      <w:r>
        <w:rPr>
          <w:rFonts w:hint="eastAsia" w:ascii="方正魏碑_GBK" w:hAnsi="方正魏碑_GBK" w:eastAsia="方正魏碑_GBK" w:cs="方正魏碑_GBK"/>
          <w:color w:val="auto"/>
          <w:sz w:val="24"/>
          <w:szCs w:val="21"/>
          <w:highlight w:val="none"/>
        </w:rPr>
        <w:t>3.2 在本项目政府采购活动过程中，如果所执行的标准有更新的，按照最新标准执行。</w:t>
      </w:r>
    </w:p>
    <w:p w14:paraId="3E61F9DA">
      <w:pPr>
        <w:pStyle w:val="10"/>
        <w:keepNext/>
        <w:keepLine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4、磋商费用</w:t>
      </w:r>
      <w:bookmarkEnd w:id="49"/>
      <w:bookmarkEnd w:id="50"/>
      <w:bookmarkEnd w:id="51"/>
      <w:bookmarkEnd w:id="52"/>
    </w:p>
    <w:p w14:paraId="53C618FE">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4.1供应商应自行承担所有与参加本次磋商有关的费用，无论磋商过程中的做法和结果如何，盐城市招标代理有限公司（以下简称：采购代理机构）在任何情况下均无义务和责任承担这些费用。</w:t>
      </w:r>
    </w:p>
    <w:p w14:paraId="0227810F">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4.2本次磋商采购人和采购代理机构不收取标书工本费与成交服务费。</w:t>
      </w:r>
    </w:p>
    <w:p w14:paraId="43C27EB4">
      <w:pPr>
        <w:pStyle w:val="10"/>
        <w:keepNext/>
        <w:keepLines/>
        <w:spacing w:beforeAutospacing="0" w:afterAutospacing="0" w:line="460" w:lineRule="exact"/>
        <w:ind w:firstLine="482" w:firstLineChars="200"/>
        <w:jc w:val="both"/>
        <w:rPr>
          <w:rFonts w:ascii="宋体" w:hAnsi="宋体" w:eastAsia="宋体" w:cs="宋体"/>
          <w:color w:val="auto"/>
          <w:highlight w:val="none"/>
        </w:rPr>
      </w:pPr>
      <w:r>
        <w:rPr>
          <w:rFonts w:hint="eastAsia" w:ascii="宋体" w:hAnsi="宋体" w:eastAsia="宋体" w:cs="宋体"/>
          <w:b/>
          <w:color w:val="auto"/>
          <w:highlight w:val="none"/>
        </w:rPr>
        <w:t>5、</w:t>
      </w:r>
      <w:r>
        <w:rPr>
          <w:rFonts w:hint="eastAsia" w:ascii="宋体" w:hAnsi="宋体" w:eastAsia="宋体" w:cs="宋体"/>
          <w:color w:val="auto"/>
          <w:highlight w:val="none"/>
        </w:rPr>
        <w:t>磋商文件的约束力</w:t>
      </w:r>
    </w:p>
    <w:p w14:paraId="6701A711">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5.1供应商一旦参加本项目采购活动，即被认为接受了本磋商文件的规定和约束。</w:t>
      </w:r>
    </w:p>
    <w:p w14:paraId="7671F4DA">
      <w:pPr>
        <w:pStyle w:val="10"/>
        <w:keepNext/>
        <w:keepLines/>
        <w:spacing w:beforeAutospacing="0" w:afterAutospacing="0" w:line="460" w:lineRule="exact"/>
        <w:ind w:firstLine="482" w:firstLineChars="200"/>
        <w:jc w:val="both"/>
        <w:rPr>
          <w:rFonts w:ascii="宋体" w:hAnsi="宋体" w:eastAsia="宋体" w:cs="宋体"/>
          <w:color w:val="auto"/>
          <w:highlight w:val="none"/>
        </w:rPr>
      </w:pPr>
      <w:bookmarkStart w:id="53" w:name="_Toc513029209"/>
      <w:bookmarkStart w:id="54" w:name="_Toc16938525"/>
      <w:bookmarkStart w:id="55" w:name="_Toc120614215"/>
      <w:bookmarkStart w:id="56" w:name="_Toc20823281"/>
      <w:r>
        <w:rPr>
          <w:rFonts w:hint="eastAsia" w:ascii="宋体" w:hAnsi="宋体" w:eastAsia="宋体" w:cs="宋体"/>
          <w:b/>
          <w:color w:val="auto"/>
          <w:highlight w:val="none"/>
        </w:rPr>
        <w:t>二、</w:t>
      </w:r>
      <w:bookmarkEnd w:id="53"/>
      <w:bookmarkEnd w:id="54"/>
      <w:bookmarkEnd w:id="55"/>
      <w:bookmarkEnd w:id="56"/>
      <w:r>
        <w:rPr>
          <w:rFonts w:hint="eastAsia" w:ascii="宋体" w:hAnsi="宋体" w:eastAsia="宋体" w:cs="宋体"/>
          <w:b/>
          <w:color w:val="auto"/>
          <w:highlight w:val="none"/>
        </w:rPr>
        <w:t>磋商文件</w:t>
      </w:r>
    </w:p>
    <w:p w14:paraId="25AEF5F0">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57" w:name="_Toc16938526"/>
      <w:bookmarkStart w:id="58" w:name="_Toc20823282"/>
      <w:bookmarkStart w:id="59" w:name="_Toc513029210"/>
      <w:r>
        <w:rPr>
          <w:rFonts w:hint="eastAsia" w:ascii="宋体" w:hAnsi="宋体" w:eastAsia="宋体" w:cs="宋体"/>
          <w:color w:val="auto"/>
          <w:highlight w:val="none"/>
        </w:rPr>
        <w:t>6、磋商文件构成</w:t>
      </w:r>
      <w:bookmarkEnd w:id="57"/>
      <w:bookmarkEnd w:id="58"/>
      <w:bookmarkEnd w:id="59"/>
    </w:p>
    <w:p w14:paraId="41D85CF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6.1磋商文件由以下部分组成：</w:t>
      </w:r>
    </w:p>
    <w:p w14:paraId="0A59C4C1">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（1）磋商公告</w:t>
      </w:r>
    </w:p>
    <w:p w14:paraId="758E6AF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（2）供应商须知</w:t>
      </w:r>
    </w:p>
    <w:p w14:paraId="3AAD8EF0">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（3）合同文本</w:t>
      </w:r>
    </w:p>
    <w:p w14:paraId="63A2663C">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（4）采购需求</w:t>
      </w:r>
    </w:p>
    <w:p w14:paraId="3FF9ACB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（5）评审方法与评审标准</w:t>
      </w:r>
    </w:p>
    <w:p w14:paraId="58DF4289">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（6）响应文件格式</w:t>
      </w:r>
    </w:p>
    <w:p w14:paraId="43B6C25F">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请仔细检查磋商文件是否齐全，如有缺漏请立即与采购人联系解决。</w:t>
      </w:r>
    </w:p>
    <w:p w14:paraId="2BAC0C07">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226E4E3">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60" w:name="_Toc513029211"/>
      <w:bookmarkStart w:id="61" w:name="_Toc20823283"/>
      <w:bookmarkStart w:id="62" w:name="_Toc16938527"/>
      <w:bookmarkStart w:id="63" w:name="_Toc462564070"/>
      <w:r>
        <w:rPr>
          <w:rFonts w:hint="eastAsia" w:ascii="宋体" w:hAnsi="宋体" w:eastAsia="宋体" w:cs="宋体"/>
          <w:color w:val="auto"/>
          <w:highlight w:val="none"/>
        </w:rPr>
        <w:t>7、磋商文件的澄清</w:t>
      </w:r>
      <w:bookmarkEnd w:id="60"/>
      <w:bookmarkEnd w:id="61"/>
      <w:bookmarkEnd w:id="62"/>
      <w:bookmarkEnd w:id="63"/>
    </w:p>
    <w:p w14:paraId="25FA5E8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7.1 任何要求对磋商文件进行澄清的供应商，应在磋商截止期5日前按磋商公告中的通讯地址，以书面形式通知采购人。</w:t>
      </w:r>
    </w:p>
    <w:p w14:paraId="318D53BA">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64" w:name="_Toc16938528"/>
      <w:bookmarkStart w:id="65" w:name="_Toc462564071"/>
      <w:bookmarkStart w:id="66" w:name="_Toc20823284"/>
      <w:bookmarkStart w:id="67" w:name="_Toc513029212"/>
      <w:r>
        <w:rPr>
          <w:rFonts w:hint="eastAsia" w:ascii="宋体" w:hAnsi="宋体" w:eastAsia="宋体" w:cs="宋体"/>
          <w:color w:val="auto"/>
          <w:highlight w:val="none"/>
        </w:rPr>
        <w:t>8、磋商文件的澄清和修改</w:t>
      </w:r>
      <w:bookmarkEnd w:id="64"/>
      <w:bookmarkEnd w:id="65"/>
      <w:bookmarkEnd w:id="66"/>
      <w:bookmarkEnd w:id="67"/>
    </w:p>
    <w:p w14:paraId="42837AE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p>
    <w:p w14:paraId="459D821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8.2采购人可以视采购项目的具体情况，组织供应商进行现场考察或召开磋商前答疑会，但不单独或分别组织只有一个供应商参加的现场考察和答疑会。</w:t>
      </w:r>
    </w:p>
    <w:p w14:paraId="64D59BE3">
      <w:pPr>
        <w:pStyle w:val="10"/>
        <w:keepNext/>
        <w:keepLines/>
        <w:spacing w:beforeAutospacing="0" w:afterAutospacing="0" w:line="460" w:lineRule="exact"/>
        <w:ind w:firstLine="482" w:firstLineChars="200"/>
        <w:jc w:val="both"/>
        <w:rPr>
          <w:rFonts w:ascii="宋体" w:hAnsi="宋体" w:eastAsia="宋体" w:cs="宋体"/>
          <w:color w:val="auto"/>
          <w:highlight w:val="none"/>
        </w:rPr>
      </w:pPr>
      <w:bookmarkStart w:id="68" w:name="_Toc120614216"/>
      <w:bookmarkStart w:id="69" w:name="_Toc16938529"/>
      <w:bookmarkStart w:id="70" w:name="_Toc513029213"/>
      <w:bookmarkStart w:id="71" w:name="_Toc20823285"/>
      <w:bookmarkStart w:id="72" w:name="_Toc462564072"/>
      <w:r>
        <w:rPr>
          <w:rFonts w:hint="eastAsia" w:ascii="宋体" w:hAnsi="宋体" w:eastAsia="宋体" w:cs="宋体"/>
          <w:b/>
          <w:color w:val="auto"/>
          <w:highlight w:val="none"/>
        </w:rPr>
        <w:t>三、响应文件的编制</w:t>
      </w:r>
      <w:bookmarkEnd w:id="68"/>
      <w:bookmarkEnd w:id="69"/>
      <w:bookmarkEnd w:id="70"/>
      <w:bookmarkEnd w:id="71"/>
      <w:bookmarkEnd w:id="72"/>
    </w:p>
    <w:p w14:paraId="02D221D0">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73" w:name="_Toc20823286"/>
      <w:bookmarkStart w:id="74" w:name="_Toc462564073"/>
      <w:bookmarkStart w:id="75" w:name="_Toc16938530"/>
      <w:bookmarkStart w:id="76" w:name="_Toc513029214"/>
      <w:r>
        <w:rPr>
          <w:rFonts w:hint="eastAsia" w:ascii="宋体" w:hAnsi="宋体" w:eastAsia="宋体" w:cs="宋体"/>
          <w:color w:val="auto"/>
          <w:highlight w:val="none"/>
        </w:rPr>
        <w:t>9、响应文件的语言及度量衡单位</w:t>
      </w:r>
      <w:bookmarkEnd w:id="73"/>
      <w:bookmarkEnd w:id="74"/>
      <w:bookmarkEnd w:id="75"/>
      <w:bookmarkEnd w:id="76"/>
    </w:p>
    <w:p w14:paraId="7EBE4620">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9.1供应商提交的响应文件以及供应商与采购人就有关磋商的所有来往通知、函件和文件均应使用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7C6A95F4">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9.2 除技术性能另有规定外，响应文件所使用的度量衡单位，均须采用国家法定计量单位。</w:t>
      </w:r>
    </w:p>
    <w:p w14:paraId="07798DA0">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77" w:name="_Toc513029215"/>
      <w:bookmarkStart w:id="78" w:name="_Toc20823287"/>
      <w:bookmarkStart w:id="79" w:name="_Toc462564074"/>
      <w:bookmarkStart w:id="80" w:name="_Toc16938531"/>
      <w:r>
        <w:rPr>
          <w:rFonts w:hint="eastAsia" w:ascii="宋体" w:hAnsi="宋体" w:eastAsia="宋体" w:cs="宋体"/>
          <w:color w:val="auto"/>
          <w:highlight w:val="none"/>
        </w:rPr>
        <w:t>10、响应文件构成</w:t>
      </w:r>
      <w:bookmarkEnd w:id="77"/>
      <w:bookmarkEnd w:id="78"/>
      <w:bookmarkEnd w:id="79"/>
      <w:bookmarkEnd w:id="80"/>
    </w:p>
    <w:p w14:paraId="448AC452">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10.1供应商编写的响应文件应包括资格证明文件、符合性证明文件、分项报价表、技术要求响应及偏离表、商务要求响应及偏离表、其他证明文件、磋商响应函等部分。</w:t>
      </w:r>
    </w:p>
    <w:p w14:paraId="09D67DEF">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10.2 如标书制作工具中格式和内容与“中国政府采购网”、“江苏政府采购网”“盐城市政府采购网”发布的磋商文件不一致，请以“中国政府采购网”“江苏政府采购网”“盐城市政府采购网”发布的磋商文件为准。</w:t>
      </w:r>
    </w:p>
    <w:p w14:paraId="523CDFE3">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81" w:name="_Toc513029219"/>
      <w:bookmarkStart w:id="82" w:name="_Toc49090507"/>
      <w:bookmarkStart w:id="83" w:name="_Toc49090508"/>
      <w:bookmarkStart w:id="84" w:name="_Toc49090509"/>
      <w:bookmarkStart w:id="85" w:name="_Toc14577354"/>
      <w:bookmarkStart w:id="86" w:name="_Toc513029216"/>
      <w:bookmarkStart w:id="87" w:name="_Toc14577357"/>
      <w:bookmarkStart w:id="88" w:name="_Toc14577355"/>
      <w:bookmarkStart w:id="89" w:name="_Hlt26668975"/>
      <w:bookmarkStart w:id="90" w:name="_Hlt26670360"/>
      <w:bookmarkStart w:id="91" w:name="_Hlt26954838"/>
      <w:r>
        <w:rPr>
          <w:rFonts w:hint="eastAsia" w:ascii="宋体" w:hAnsi="宋体" w:eastAsia="宋体" w:cs="宋体"/>
          <w:color w:val="auto"/>
          <w:highlight w:val="none"/>
        </w:rPr>
        <w:t>11、证明磋商响应标的符合磋商文件规定的文件</w:t>
      </w:r>
      <w:bookmarkEnd w:id="81"/>
      <w:bookmarkEnd w:id="82"/>
      <w:bookmarkEnd w:id="83"/>
      <w:bookmarkEnd w:id="84"/>
      <w:bookmarkEnd w:id="85"/>
      <w:bookmarkEnd w:id="86"/>
      <w:bookmarkEnd w:id="87"/>
      <w:bookmarkEnd w:id="88"/>
    </w:p>
    <w:p w14:paraId="7777AC40">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11.1供应商应按照磋商文件要求提交证明文件，证明其及磋商响应标的符合磋商文件规定。</w:t>
      </w:r>
    </w:p>
    <w:p w14:paraId="7591D6CE">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11.2磋商文件对证明文件无明确形式要求的，证明文件可以以文字资料、图纸和数据等形式提交。</w:t>
      </w:r>
    </w:p>
    <w:p w14:paraId="12B07A76">
      <w:pPr>
        <w:pStyle w:val="10"/>
        <w:keepNext/>
        <w:keepLine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12、分项报价表</w:t>
      </w:r>
    </w:p>
    <w:p w14:paraId="24B9452F">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12.1供应商应按照磋商文件规定格式填报分项报价表。</w:t>
      </w:r>
    </w:p>
    <w:p w14:paraId="2B17754C">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12.2磋商货币。响应文件中的单价和总价无特殊规定的采用人民币报价，以元为单位标注。磋商文件中另有规定的按规定执行。</w:t>
      </w:r>
    </w:p>
    <w:p w14:paraId="0435712F">
      <w:pPr>
        <w:pStyle w:val="10"/>
        <w:spacing w:beforeAutospacing="0" w:afterAutospacing="0" w:line="460" w:lineRule="exact"/>
        <w:ind w:firstLine="480" w:firstLineChars="200"/>
        <w:jc w:val="both"/>
        <w:rPr>
          <w:rFonts w:ascii="宋体" w:hAnsi="宋体" w:eastAsia="宋体" w:cs="宋体"/>
          <w:color w:val="auto"/>
          <w:highlight w:val="none"/>
        </w:rPr>
      </w:pPr>
      <w:bookmarkStart w:id="92" w:name="_Hlt26954731"/>
      <w:bookmarkStart w:id="93" w:name="_Hlt26954848"/>
      <w:bookmarkStart w:id="94" w:name="_Hlt26954846"/>
      <w:bookmarkStart w:id="95" w:name="_Hlt26670482"/>
      <w:bookmarkStart w:id="96" w:name="_Hlt26670486"/>
      <w:r>
        <w:rPr>
          <w:rFonts w:hint="eastAsia" w:ascii="宋体" w:hAnsi="宋体" w:eastAsia="宋体" w:cs="宋体"/>
          <w:color w:val="auto"/>
          <w:highlight w:val="none"/>
        </w:rPr>
        <w:t>12.3有关费用处理的约定</w:t>
      </w:r>
    </w:p>
    <w:p w14:paraId="182D06DC">
      <w:pPr>
        <w:pStyle w:val="10"/>
        <w:spacing w:beforeAutospacing="0" w:afterAutospacing="0" w:line="460" w:lineRule="exact"/>
        <w:ind w:firstLine="480" w:firstLineChars="200"/>
        <w:jc w:val="both"/>
        <w:rPr>
          <w:rFonts w:ascii="宋体" w:hAnsi="宋体" w:eastAsia="宋体" w:cs="宋体"/>
          <w:color w:val="auto"/>
          <w:highlight w:val="none"/>
          <w:lang w:val="zh-CN"/>
        </w:rPr>
      </w:pPr>
      <w:r>
        <w:rPr>
          <w:rFonts w:hint="eastAsia" w:ascii="宋体" w:hAnsi="宋体" w:eastAsia="宋体" w:cs="宋体"/>
          <w:color w:val="auto"/>
          <w:highlight w:val="none"/>
        </w:rPr>
        <w:t>12.3.1</w:t>
      </w:r>
      <w:r>
        <w:rPr>
          <w:rFonts w:hint="eastAsia" w:ascii="宋体" w:hAnsi="宋体" w:eastAsia="宋体" w:cs="宋体"/>
          <w:color w:val="auto"/>
          <w:highlight w:val="none"/>
          <w:lang w:val="zh-CN"/>
        </w:rPr>
        <w:t>人员工资及相关费用测算依据：</w:t>
      </w:r>
    </w:p>
    <w:p w14:paraId="1DDB310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（1）所有人员工资不低于本市最低工资标准2430元/人每月。</w:t>
      </w:r>
    </w:p>
    <w:p w14:paraId="3BA94EF2">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所有人员必须足额缴纳保险费用，保险费用应满足执行苏人社发〔2025〕33号《关于发布2025年度社会保险有关基数的通知》，社保（企业部分）不得低于上述文件标准及规定险种测算（规定险种为“五险”，指养老保险金16%、医疗保险金8%、工伤保险金0.7%、生育保险金0.9%、失业保险金0.5%），即不得低于1292.47元/人/月（保留两位小数，小数点后第三位四舍五入）。</w:t>
      </w:r>
    </w:p>
    <w:p w14:paraId="161D88F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住房公积金按不低于122元/人/月（整元数）缴纳；如投标单位按月最低工资标准2430元/人/月进行投标报价，需参照苏人社规〔2025〕3号《省人力资源社会保障厅关于调整全省最低工资标准的通知》文件要求，即住房公积金（职工部分）由投标单位缴纳，且不得低于122元/人/月（整元数），则报价时公积金应按244元/人/月（整元数）填报。</w:t>
      </w:r>
    </w:p>
    <w:p w14:paraId="4ABFC8A5">
      <w:pPr>
        <w:spacing w:line="4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本项目要求每年法定节假日加班天数为13天，各供应商须按不低于(人员工资/21.75)*3*13元/人/年）填报，否则作无效标书处理。（单价保留两位小数，小数点后第三位四舍五入，用保留后的单价乘人数计算出合价）。</w:t>
      </w:r>
    </w:p>
    <w:p w14:paraId="2A63AD04">
      <w:pPr>
        <w:spacing w:line="4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（5）夏季高温费用每人每月300元，发放6、7、8、9月四个月，各供应商须按不低于1200元/人/年填报，人数不得低于36人。</w:t>
      </w:r>
    </w:p>
    <w:p w14:paraId="3B928ABC">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（6）其他费用（包括但不限于利润、管理费、税金等），供应商按照企业实际情况自行测算，不可漏项、报价不得为零；</w:t>
      </w:r>
    </w:p>
    <w:p w14:paraId="02B4535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注：所提供人员的费用不得低于上述标准进行测算，否则可能导致评标委员会认为投标报价组成不完整。有可能影响服务质量或者不能诚信履行的应提供书面说明，必要时提供相关证明材料，不能证明其报价合理性的，将其作为无效投标处理。因投标报价缺漏项或组成不合理导致的废标，责任自负。</w:t>
      </w:r>
    </w:p>
    <w:p w14:paraId="27055501">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12.3.2本项目报价方式为“固定总价报价”，各供应商根据招标内容及技术服务规范要求在服务期限内报出总价。</w:t>
      </w:r>
    </w:p>
    <w:p w14:paraId="1522401C">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本次招标项目供应商根据现场实际情况、招标人提供的项目需求、自身实力、结合市场行情按一年服务期报价，此报价应包括为完成招标文件及项目需求中的所有内容。即主要包括（但不限于）：人工工资、职工福利、职工意外伤害险、高温费、节假日加班费、服装费、材料费、工具费、燃油费、垃圾桶与垃圾车购置或租赁费、维修保养、水费、现有设备的维修保养、运营期间的水费、管理费、利润、各种规费及税金、不可预见费及其它一切相关费用等所需的全部费用的价格体现。供应商必须严格按照国家相关法律、法规及盐城市劳动用人规定测算人员工资和社保及其他费用等，否则将被视作为未实质性响应招标文件并作无效标书处理。用工制度必须按国家《劳动法》、《江苏省劳动管理条例》等有关规定执行。各类风险和政策性调整等风险已包括在投标报价中，最终结算时除合同约定调整外一律不予调整。</w:t>
      </w:r>
    </w:p>
    <w:p w14:paraId="5C25D9C2">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12.3.3由供应商法定代表人或委托代理人签署的《开标一览表》作为项目最终结算的依据。</w:t>
      </w:r>
    </w:p>
    <w:p w14:paraId="0F9269B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12.3.4最低报价不能作为中标的保证。</w:t>
      </w:r>
    </w:p>
    <w:p w14:paraId="4713CE80">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12.3.5如出现不合理的报价，经评标委员会评审报价低于其企业成本或明显高于市场价格的，作废标处理。</w:t>
      </w:r>
    </w:p>
    <w:p w14:paraId="6D3B69E2">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12.3.6采购人将拒绝高于最高限价的投标报价。</w:t>
      </w:r>
    </w:p>
    <w:p w14:paraId="22A6C3C1">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12.4 供应商应按照招标文件规定格式填写《开标一览表》，每项服务只允许有一个报价，任何有选择的报价将不予接受。</w:t>
      </w:r>
    </w:p>
    <w:p w14:paraId="3908B144">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12.5其它费用处理</w:t>
      </w:r>
    </w:p>
    <w:p w14:paraId="39EC935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招标文件未列明，而供应商认为必需的费用也需列入报价。</w:t>
      </w:r>
    </w:p>
    <w:p w14:paraId="65E1CAFA">
      <w:pPr>
        <w:pStyle w:val="10"/>
        <w:keepNext/>
        <w:keepLine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13、技术要求响应及偏离表、商务要求响应及偏离表</w:t>
      </w:r>
    </w:p>
    <w:p w14:paraId="5FF0FE19">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13.1供应商需对磋商文件中的技术要求与商务要求逐项作出响应或偏离，并说明原因。</w:t>
      </w:r>
    </w:p>
    <w:p w14:paraId="608E5F5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13.2供应商可在响应文件中提供认为需要的其他技术文件或说明。</w:t>
      </w:r>
    </w:p>
    <w:p w14:paraId="78160F97">
      <w:pPr>
        <w:pStyle w:val="10"/>
        <w:keepNext/>
        <w:keepLine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14、服务承诺、培训计划、人员安排及其他</w:t>
      </w:r>
    </w:p>
    <w:p w14:paraId="450B0C54">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14.1供应商需根据磋商文件要求提供有关售后服务的管理制度，售后服务机构的分布情况，售后服务人员的数量、素质、技术水平及售后服务的反应能力等。</w:t>
      </w:r>
    </w:p>
    <w:p w14:paraId="6E61F0A9">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14.2供应商需根据磋商文件要求提供培训计划。</w:t>
      </w:r>
    </w:p>
    <w:p w14:paraId="41D40507">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14.3供应商需根据磋商文件要求提供磋商响应标的的主要组成部分、功能设计、实现思路及关键技术等。</w:t>
      </w:r>
    </w:p>
    <w:p w14:paraId="6510BE44">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97" w:name="_Toc49090510"/>
      <w:bookmarkStart w:id="98" w:name="_Toc14577359"/>
      <w:r>
        <w:rPr>
          <w:rFonts w:hint="eastAsia" w:ascii="宋体" w:hAnsi="宋体" w:eastAsia="宋体" w:cs="宋体"/>
          <w:color w:val="auto"/>
          <w:highlight w:val="none"/>
        </w:rPr>
        <w:t>15、磋商响应函</w:t>
      </w:r>
      <w:bookmarkEnd w:id="97"/>
      <w:bookmarkEnd w:id="98"/>
    </w:p>
    <w:p w14:paraId="64CC5EF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15.1供应商应按照磋商文件中提供的格式完整、正确填写磋商响应函。</w:t>
      </w:r>
    </w:p>
    <w:p w14:paraId="6BF7378A">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99" w:name="_Toc49090511"/>
      <w:bookmarkStart w:id="100" w:name="_Toc14577360"/>
      <w:r>
        <w:rPr>
          <w:rFonts w:hint="eastAsia" w:ascii="宋体" w:hAnsi="宋体" w:eastAsia="宋体" w:cs="宋体"/>
          <w:color w:val="auto"/>
          <w:highlight w:val="none"/>
        </w:rPr>
        <w:t>16、磋商有效期</w:t>
      </w:r>
      <w:bookmarkEnd w:id="99"/>
      <w:bookmarkEnd w:id="100"/>
    </w:p>
    <w:p w14:paraId="6B00E09C">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16.1磋商有效期为采购人规定的提交响应文件截止之日后</w:t>
      </w:r>
      <w:r>
        <w:rPr>
          <w:rFonts w:hint="eastAsia" w:ascii="宋体" w:hAnsi="宋体" w:eastAsia="宋体" w:cs="宋体"/>
          <w:b/>
          <w:color w:val="auto"/>
          <w:highlight w:val="none"/>
          <w:u w:val="single"/>
        </w:rPr>
        <w:t>九十（90）天</w:t>
      </w:r>
      <w:r>
        <w:rPr>
          <w:rFonts w:hint="eastAsia" w:ascii="宋体" w:hAnsi="宋体" w:eastAsia="宋体" w:cs="宋体"/>
          <w:color w:val="auto"/>
          <w:highlight w:val="none"/>
        </w:rPr>
        <w:t>。磋商有效期比规定短的将被视为非实质性响应磋商文件而予以拒绝。</w:t>
      </w:r>
    </w:p>
    <w:p w14:paraId="3F35B79F">
      <w:pPr>
        <w:pStyle w:val="10"/>
        <w:keepNext/>
        <w:keepLine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17、磋商有效期的延长</w:t>
      </w:r>
    </w:p>
    <w:p w14:paraId="7A96D9C7">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0020DEBC">
      <w:pPr>
        <w:pStyle w:val="10"/>
        <w:keepNext/>
        <w:keepLines/>
        <w:spacing w:beforeAutospacing="0" w:afterAutospacing="0" w:line="460" w:lineRule="exact"/>
        <w:ind w:firstLine="482" w:firstLineChars="200"/>
        <w:jc w:val="both"/>
        <w:rPr>
          <w:rFonts w:ascii="宋体" w:hAnsi="宋体" w:eastAsia="宋体" w:cs="宋体"/>
          <w:color w:val="auto"/>
          <w:highlight w:val="none"/>
        </w:rPr>
      </w:pPr>
      <w:bookmarkStart w:id="101" w:name="_Toc513029224"/>
      <w:bookmarkStart w:id="102" w:name="_Toc20823296"/>
      <w:bookmarkStart w:id="103" w:name="_Toc120614217"/>
      <w:bookmarkStart w:id="104" w:name="_Toc16938540"/>
      <w:bookmarkStart w:id="105" w:name="_Hlt26954852"/>
      <w:bookmarkStart w:id="106" w:name="_Hlt26954739"/>
      <w:r>
        <w:rPr>
          <w:rFonts w:hint="eastAsia" w:ascii="宋体" w:hAnsi="宋体" w:eastAsia="宋体" w:cs="宋体"/>
          <w:b/>
          <w:color w:val="auto"/>
          <w:highlight w:val="none"/>
        </w:rPr>
        <w:t>四、响应文件的递交</w:t>
      </w:r>
      <w:bookmarkEnd w:id="101"/>
      <w:bookmarkEnd w:id="102"/>
      <w:bookmarkEnd w:id="103"/>
      <w:bookmarkEnd w:id="104"/>
    </w:p>
    <w:p w14:paraId="54033AFA">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107" w:name="_Toc513029225"/>
      <w:bookmarkStart w:id="108" w:name="_Toc462564084"/>
      <w:bookmarkStart w:id="109" w:name="_Toc20823297"/>
      <w:bookmarkStart w:id="110" w:name="_Toc16938541"/>
      <w:r>
        <w:rPr>
          <w:rFonts w:hint="eastAsia" w:ascii="宋体" w:hAnsi="宋体" w:eastAsia="宋体" w:cs="宋体"/>
          <w:color w:val="auto"/>
          <w:highlight w:val="none"/>
        </w:rPr>
        <w:t>18、电子磋商</w:t>
      </w:r>
      <w:bookmarkEnd w:id="107"/>
      <w:bookmarkEnd w:id="108"/>
      <w:bookmarkEnd w:id="109"/>
      <w:bookmarkEnd w:id="110"/>
      <w:r>
        <w:rPr>
          <w:rFonts w:hint="eastAsia" w:ascii="宋体" w:hAnsi="宋体" w:eastAsia="宋体" w:cs="宋体"/>
          <w:color w:val="auto"/>
          <w:highlight w:val="none"/>
        </w:rPr>
        <w:t>响应文件的递交</w:t>
      </w:r>
    </w:p>
    <w:p w14:paraId="1AB1A41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18.1供应商应当按照《操作手册》规定，在提交响应文件截止时间前制作并上传电子响应文件。</w:t>
      </w:r>
      <w:bookmarkStart w:id="111" w:name="_Toc20823298"/>
      <w:bookmarkEnd w:id="111"/>
      <w:bookmarkStart w:id="112" w:name="_Toc16938542"/>
      <w:bookmarkEnd w:id="112"/>
      <w:bookmarkStart w:id="113" w:name="_Toc513029226"/>
    </w:p>
    <w:p w14:paraId="2BB5721D">
      <w:pPr>
        <w:pStyle w:val="10"/>
        <w:keepNext/>
        <w:keepLine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19、提交响应文件截止时间</w:t>
      </w:r>
    </w:p>
    <w:p w14:paraId="154C87F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i/>
          <w:color w:val="auto"/>
          <w:highlight w:val="none"/>
          <w:u w:val="single"/>
        </w:rPr>
        <w:t>19.1供应商上传电子响应文件的时间不得迟于磋商公告中规定的提交响应文件截止时间。</w:t>
      </w:r>
    </w:p>
    <w:p w14:paraId="78DBBD77">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供应商应充分考虑到网络环境、网络带宽等风险因素，如因供应商自身原因造成的电子响应文件上传不成功的按照本磋商文件第二章第26.3.2条规定做无效响应处理。</w:t>
      </w:r>
    </w:p>
    <w:p w14:paraId="283D4357">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19.2 采购人可以按照规定，通过修改磋商文件酌情延长提交响应文件截止日期，在此情况下，供应商的所有权利和义务以及供应商受制的截止日期均应以延长后新的截止日期为准。</w:t>
      </w:r>
    </w:p>
    <w:p w14:paraId="0ACE8C33">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114" w:name="_Toc513029227"/>
      <w:bookmarkStart w:id="115" w:name="_Toc16938543"/>
      <w:bookmarkStart w:id="116" w:name="_Toc20823299"/>
      <w:r>
        <w:rPr>
          <w:rFonts w:hint="eastAsia" w:ascii="宋体" w:hAnsi="宋体" w:eastAsia="宋体" w:cs="宋体"/>
          <w:color w:val="auto"/>
          <w:highlight w:val="none"/>
        </w:rPr>
        <w:t>20、响应文件</w:t>
      </w:r>
      <w:bookmarkEnd w:id="114"/>
      <w:bookmarkEnd w:id="115"/>
      <w:bookmarkEnd w:id="116"/>
      <w:r>
        <w:rPr>
          <w:rFonts w:hint="eastAsia" w:ascii="宋体" w:hAnsi="宋体" w:eastAsia="宋体" w:cs="宋体"/>
          <w:color w:val="auto"/>
          <w:highlight w:val="none"/>
        </w:rPr>
        <w:t>的拒收</w:t>
      </w:r>
    </w:p>
    <w:p w14:paraId="650DEA37">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20.1 采购人拒绝接收在其规定的提交响应文件截止时间后上传的任何电子响应文件。</w:t>
      </w:r>
    </w:p>
    <w:p w14:paraId="04FE860A">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117" w:name="_Toc513029228"/>
      <w:bookmarkStart w:id="118" w:name="_Toc16938544"/>
      <w:bookmarkStart w:id="119" w:name="_Toc20823300"/>
      <w:r>
        <w:rPr>
          <w:rFonts w:hint="eastAsia" w:ascii="宋体" w:hAnsi="宋体" w:eastAsia="宋体" w:cs="宋体"/>
          <w:color w:val="auto"/>
          <w:highlight w:val="none"/>
        </w:rPr>
        <w:t>21、响应文件的撤回和修改</w:t>
      </w:r>
      <w:bookmarkEnd w:id="117"/>
      <w:bookmarkEnd w:id="118"/>
      <w:bookmarkEnd w:id="119"/>
    </w:p>
    <w:p w14:paraId="32648F1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21.1响应文件的撤回</w:t>
      </w:r>
    </w:p>
    <w:p w14:paraId="1B293C1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21.1.1 电子响应文件的撤回</w:t>
      </w:r>
    </w:p>
    <w:p w14:paraId="662C7B07">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供应商可在提交响应文件截止时间前，撤回其电子响应文件，具体操作方法见《操作手册》。</w:t>
      </w:r>
    </w:p>
    <w:p w14:paraId="4F03D64C">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21.1.2供应商撤回电子响应文件，则认为其不再参与本项目磋商活动。</w:t>
      </w:r>
    </w:p>
    <w:p w14:paraId="3A90E47D">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21.2响应文件的修改</w:t>
      </w:r>
    </w:p>
    <w:p w14:paraId="2F5BAD6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供应商可在提交响应文件截止时间前，对其电子响应文件进行修改，具体操作方法见《操作手册》。</w:t>
      </w:r>
    </w:p>
    <w:p w14:paraId="2407ED7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21.3 在提交响应文件截止时间之后，供应商不得对其电子响应文件作任何修改。</w:t>
      </w:r>
    </w:p>
    <w:p w14:paraId="46F9251D">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21.4 在提交响应文件截止时间至磋商文件中规定的磋商有效期满之间的这段时间内，供应商不得撤回其响应文件。</w:t>
      </w:r>
    </w:p>
    <w:p w14:paraId="3520CE81">
      <w:pPr>
        <w:pStyle w:val="10"/>
        <w:keepNext/>
        <w:keepLines/>
        <w:spacing w:beforeAutospacing="0" w:afterAutospacing="0" w:line="460" w:lineRule="exact"/>
        <w:ind w:firstLine="482" w:firstLineChars="200"/>
        <w:jc w:val="both"/>
        <w:rPr>
          <w:rFonts w:ascii="宋体" w:hAnsi="宋体" w:eastAsia="宋体" w:cs="宋体"/>
          <w:color w:val="auto"/>
          <w:highlight w:val="none"/>
        </w:rPr>
      </w:pPr>
      <w:bookmarkStart w:id="120" w:name="_Toc120614218"/>
      <w:bookmarkStart w:id="121" w:name="_Toc513029229"/>
      <w:bookmarkStart w:id="122" w:name="_Toc16938545"/>
      <w:bookmarkStart w:id="123" w:name="_Toc20823301"/>
      <w:r>
        <w:rPr>
          <w:rFonts w:hint="eastAsia" w:ascii="宋体" w:hAnsi="宋体" w:eastAsia="宋体" w:cs="宋体"/>
          <w:b/>
          <w:color w:val="auto"/>
          <w:highlight w:val="none"/>
        </w:rPr>
        <w:t>五、响应文件的解密与评审</w:t>
      </w:r>
      <w:bookmarkEnd w:id="120"/>
      <w:bookmarkEnd w:id="121"/>
      <w:bookmarkEnd w:id="122"/>
      <w:bookmarkEnd w:id="123"/>
    </w:p>
    <w:p w14:paraId="247F403E">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124" w:name="_Toc16938546"/>
      <w:bookmarkStart w:id="125" w:name="_Toc20823302"/>
      <w:bookmarkStart w:id="126" w:name="_Toc513029230"/>
      <w:r>
        <w:rPr>
          <w:rFonts w:hint="eastAsia" w:ascii="宋体" w:hAnsi="宋体" w:eastAsia="宋体" w:cs="宋体"/>
          <w:color w:val="auto"/>
          <w:highlight w:val="none"/>
        </w:rPr>
        <w:t>22、</w:t>
      </w:r>
      <w:bookmarkEnd w:id="124"/>
      <w:bookmarkEnd w:id="125"/>
      <w:bookmarkEnd w:id="126"/>
      <w:r>
        <w:rPr>
          <w:rFonts w:hint="eastAsia" w:ascii="宋体" w:hAnsi="宋体" w:eastAsia="宋体" w:cs="宋体"/>
          <w:color w:val="auto"/>
          <w:highlight w:val="none"/>
        </w:rPr>
        <w:t>响应文件解密</w:t>
      </w:r>
    </w:p>
    <w:p w14:paraId="6D4B9C6D">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22.1供应商应当按照《操作手册》规定，在苏采云系统规定的时间内对磋商响应文件进行解密。</w:t>
      </w:r>
    </w:p>
    <w:p w14:paraId="71393B36">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127" w:name="_Toc16938547"/>
      <w:bookmarkStart w:id="128" w:name="_Toc20823303"/>
      <w:bookmarkStart w:id="129" w:name="_Toc513029231"/>
      <w:r>
        <w:rPr>
          <w:rFonts w:hint="eastAsia" w:ascii="宋体" w:hAnsi="宋体" w:eastAsia="宋体" w:cs="宋体"/>
          <w:color w:val="auto"/>
          <w:highlight w:val="none"/>
        </w:rPr>
        <w:t>23、磋商小组</w:t>
      </w:r>
      <w:bookmarkEnd w:id="127"/>
      <w:bookmarkEnd w:id="128"/>
      <w:bookmarkEnd w:id="129"/>
    </w:p>
    <w:p w14:paraId="608E9D5F">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23.1采购人将组织磋商小组对响应文件进行评审。磋商小组由采购人代表和有关技术、经济等方面的专家组成，且人员构成符合政府采购有关规定。</w:t>
      </w:r>
    </w:p>
    <w:p w14:paraId="749241A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23.2磋商小组独立工作，负责评审所有响应文件并确定成交候选人。</w:t>
      </w:r>
    </w:p>
    <w:p w14:paraId="2AA52925">
      <w:pPr>
        <w:pStyle w:val="10"/>
        <w:keepNext/>
        <w:keepLine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24、评审过程的保密与公正</w:t>
      </w:r>
    </w:p>
    <w:p w14:paraId="70CC1CF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24.1磋商小组、采购人和采购代理机构工作人员、相关监督人员等与评审工作有关的人员，对评审情况以及在评审过程中获悉的国家秘密、商业秘密负有保密责任。</w:t>
      </w:r>
    </w:p>
    <w:p w14:paraId="1058107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24.2在评审过程中，供应商不得以任何行为影响磋商评审过程，否则其响应文件将被视为无效响应文件。</w:t>
      </w:r>
    </w:p>
    <w:p w14:paraId="2E39CC3F">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24.3在项目评审期间，采购人将设专门人员与供应商联系。</w:t>
      </w:r>
    </w:p>
    <w:p w14:paraId="6528CA49">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24.4 采购人和磋商小组不向未成交的供应商解释未成交原因，也不公布评审过程中的相关细节。</w:t>
      </w:r>
    </w:p>
    <w:p w14:paraId="2DBC2369">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130" w:name="_Toc20823304"/>
      <w:bookmarkStart w:id="131" w:name="_Toc16938548"/>
      <w:bookmarkStart w:id="132" w:name="_Toc513029232"/>
      <w:r>
        <w:rPr>
          <w:rFonts w:hint="eastAsia" w:ascii="宋体" w:hAnsi="宋体" w:eastAsia="宋体" w:cs="宋体"/>
          <w:color w:val="auto"/>
          <w:highlight w:val="none"/>
        </w:rPr>
        <w:t>25、评审过程中的澄清</w:t>
      </w:r>
      <w:bookmarkEnd w:id="130"/>
      <w:bookmarkEnd w:id="131"/>
      <w:bookmarkEnd w:id="132"/>
    </w:p>
    <w:p w14:paraId="20B70A79">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678F4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磋商小组并非对每个供应商都作澄清要求。</w:t>
      </w:r>
    </w:p>
    <w:p w14:paraId="1D5C30B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A75E9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25.3 接到磋商小组澄清、说明和更正要求的供应商如未按规定作出澄清、说明和 更正，其风险由供应商自行承担。</w:t>
      </w:r>
    </w:p>
    <w:p w14:paraId="23F7B436">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133" w:name="_Toc16938549"/>
      <w:bookmarkStart w:id="134" w:name="_Toc513029233"/>
      <w:bookmarkStart w:id="135" w:name="_Toc20823305"/>
      <w:r>
        <w:rPr>
          <w:rFonts w:hint="eastAsia" w:ascii="宋体" w:hAnsi="宋体" w:eastAsia="宋体" w:cs="宋体"/>
          <w:color w:val="auto"/>
          <w:highlight w:val="none"/>
        </w:rPr>
        <w:t>26、对响应文件的审</w:t>
      </w:r>
      <w:bookmarkEnd w:id="133"/>
      <w:bookmarkEnd w:id="134"/>
      <w:bookmarkEnd w:id="135"/>
      <w:r>
        <w:rPr>
          <w:rFonts w:hint="eastAsia" w:ascii="宋体" w:hAnsi="宋体" w:eastAsia="宋体" w:cs="宋体"/>
          <w:color w:val="auto"/>
          <w:highlight w:val="none"/>
        </w:rPr>
        <w:t>查</w:t>
      </w:r>
    </w:p>
    <w:p w14:paraId="1BE39D1E">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26.1响应文件审查分为资格审查和符合性审查。</w:t>
      </w:r>
    </w:p>
    <w:p w14:paraId="2EC39E4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26.1.1 资格审查：由磋商小组依据法律法规和磋商文件的规定，对响应文件中的资格证明文件进行审查，以确定供应商是否具备参加磋商的资格。</w:t>
      </w:r>
    </w:p>
    <w:p w14:paraId="31BDFF71">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磋商小组在进行资格审查的同时，将在“信用中国”网站（www.creditchina.gov.cn）查询供应商的信用记录，以确定供应商是否具备磋商资格,查询结果留存并归档。</w:t>
      </w:r>
    </w:p>
    <w:p w14:paraId="09B4FB34">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1C2B1C">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26.1.2 符合性审查：依据磋商文件的规定，由磋商小组从响应文件的有效性、完整性和对磋商文件的响应程度进行审查，以确定是否对磋商文件的实质性要求作出响应。</w:t>
      </w:r>
    </w:p>
    <w:p w14:paraId="75DC1B1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0E2BF21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0D49288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8055A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26.3未实质性响应磋商文件的情形</w:t>
      </w:r>
    </w:p>
    <w:p w14:paraId="08A9FA92">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26.3.1供应商在苏采云系统规定的时间内未成功解密电子响应文件的。</w:t>
      </w:r>
    </w:p>
    <w:p w14:paraId="5BD5D67A">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26.3.2供应商未按照磋商文件要求上传电子响应文件的。</w:t>
      </w:r>
    </w:p>
    <w:p w14:paraId="3B6624B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26.3.3同一供应商提交两个（含两个）以上不同的响应文件或者最后报价的。</w:t>
      </w:r>
    </w:p>
    <w:p w14:paraId="20493144">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26.3.4供应商不具备磋商文件中规定资格要求的。</w:t>
      </w:r>
    </w:p>
    <w:p w14:paraId="0D7F7E51">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26.3.5供应商的最后报价超过了采购预算。</w:t>
      </w:r>
    </w:p>
    <w:p w14:paraId="19AFCED9">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26.3.6不符合磋商文件中规定的实质性要求和条件的</w:t>
      </w:r>
      <w:r>
        <w:rPr>
          <w:rFonts w:hint="eastAsia" w:ascii="宋体" w:hAnsi="宋体" w:eastAsia="宋体" w:cs="宋体"/>
          <w:i/>
          <w:color w:val="auto"/>
          <w:highlight w:val="none"/>
          <w:u w:val="single"/>
        </w:rPr>
        <w:t>（本磋商文件中斜体且有下划线部分为实质性要求和条件）。</w:t>
      </w:r>
    </w:p>
    <w:p w14:paraId="033E3F1C">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F4C8D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26.3.8响应文件含有采购人不能接受的附加条件的。</w:t>
      </w:r>
    </w:p>
    <w:p w14:paraId="49A8CA61">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0278C4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26.3.10供应商不能证明其报价合理性的，磋商小组应当将其作为无效响应处理。</w:t>
      </w:r>
    </w:p>
    <w:p w14:paraId="6F27A04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（一）评审过程中出现下列情形之一的，磋商小组应当启动异常低价响应审查程序：</w:t>
      </w:r>
    </w:p>
    <w:p w14:paraId="029D404A">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1.投标（响应）报价低于全部通过符合性审查供应商投标（响应）报价平均值50%的，即投标（响应）报价&lt;全部通过符合性审查供应商投标（响应）报价平均值×50%；</w:t>
      </w:r>
    </w:p>
    <w:p w14:paraId="191012DE">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2.投标（响应）报价低于通过符合性审查的次低报价供应商投标（响应）报价50%的，即投标（响应）报价&lt;通过符合性审查的次低报价供应商投标（响应）报价×50%；</w:t>
      </w:r>
    </w:p>
    <w:p w14:paraId="08E26264">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3.投标（响应）报价低于采购项目最高限价45%的，即投标（响应）报价&lt;采购项目最高限价×45%；</w:t>
      </w:r>
    </w:p>
    <w:p w14:paraId="6B93ED4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4.评审委员会基于专业判断，认为供应商报价过低，有可能影响产品质量或者不能诚信履约的其他情形。</w:t>
      </w:r>
    </w:p>
    <w:p w14:paraId="6E14DBF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相关法律法规对供应商报价有规定的，从其规定。</w:t>
      </w:r>
    </w:p>
    <w:p w14:paraId="209516AE">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07C11C6">
      <w:pPr>
        <w:pStyle w:val="10"/>
        <w:spacing w:beforeAutospacing="0" w:afterAutospacing="0" w:line="460" w:lineRule="exact"/>
        <w:ind w:firstLine="480" w:firstLineChars="200"/>
        <w:jc w:val="both"/>
        <w:rPr>
          <w:color w:val="auto"/>
          <w:highlight w:val="none"/>
        </w:rPr>
      </w:pPr>
      <w:r>
        <w:rPr>
          <w:rFonts w:hint="eastAsia" w:ascii="宋体" w:hAnsi="宋体" w:eastAsia="宋体" w:cs="宋体"/>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116A2C8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26.3.11响应文件未按照磋商文件要求加盖CA电子公章的。</w:t>
      </w:r>
    </w:p>
    <w:p w14:paraId="42B503B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26.4未实质性响应磋商文件的响应文件按无效响应处理。</w:t>
      </w:r>
    </w:p>
    <w:p w14:paraId="75F91C60">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26.5如果响应文件实质上没有响应磋商文件的要求，磋商小组将予以拒绝，供应商不得通过修改或撤销不符合要求的偏离或保留而使其成为实质性响应的文件。</w:t>
      </w:r>
    </w:p>
    <w:p w14:paraId="000876EE">
      <w:pPr>
        <w:pStyle w:val="10"/>
        <w:spacing w:beforeAutospacing="0" w:afterAutospacing="0" w:line="460" w:lineRule="exact"/>
        <w:ind w:firstLine="480" w:firstLineChars="200"/>
        <w:jc w:val="both"/>
        <w:rPr>
          <w:rFonts w:ascii="宋体" w:hAnsi="宋体" w:eastAsia="宋体" w:cs="宋体"/>
          <w:color w:val="auto"/>
          <w:highlight w:val="none"/>
        </w:rPr>
      </w:pPr>
      <w:bookmarkStart w:id="136" w:name="_Toc20823306"/>
      <w:bookmarkStart w:id="137" w:name="_Toc16938550"/>
      <w:bookmarkStart w:id="138" w:name="_Toc513029234"/>
      <w:r>
        <w:rPr>
          <w:rFonts w:hint="eastAsia" w:ascii="宋体" w:hAnsi="宋体" w:eastAsia="宋体" w:cs="宋体"/>
          <w:color w:val="auto"/>
          <w:highlight w:val="none"/>
        </w:rPr>
        <w:t>26.6供应商在项目评审全过程中应保持通信畅通，并安排专人与采购人及磋商小组联系。</w:t>
      </w:r>
      <w:bookmarkEnd w:id="136"/>
      <w:bookmarkEnd w:id="137"/>
      <w:bookmarkEnd w:id="138"/>
    </w:p>
    <w:p w14:paraId="596A9AC8">
      <w:pPr>
        <w:pStyle w:val="10"/>
        <w:keepNext/>
        <w:keepLine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27、磋商程序及评审方法和评审标准</w:t>
      </w:r>
    </w:p>
    <w:p w14:paraId="0D2C4D72">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27.1磋商程序</w:t>
      </w:r>
    </w:p>
    <w:p w14:paraId="5C50E737">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2B85D56">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65F7E6">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E7A294">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F2DB60F">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141362C7">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599C2B3">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27.2 评审方法和评审标准</w:t>
      </w:r>
    </w:p>
    <w:p w14:paraId="3F2673FF">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27.2.1评审方法。经磋商确定最终采购需求和提交最后报价的供应商后，由磋商小组采用综合评分法对提交最后报价的供应商的响应文件和最后报价进行综合评分。</w:t>
      </w:r>
    </w:p>
    <w:p w14:paraId="38CDA423">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BE4170E">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27.2.2评审标准</w:t>
      </w:r>
    </w:p>
    <w:p w14:paraId="22D7196D">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见本磋商文件第五章规定。</w:t>
      </w:r>
    </w:p>
    <w:p w14:paraId="5E019639">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27.3采购活动终止的情况</w:t>
      </w:r>
    </w:p>
    <w:p w14:paraId="55329EC6">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出现下列情形之一的，本次竞争性磋商采购活动将被终止：</w:t>
      </w:r>
    </w:p>
    <w:p w14:paraId="6C5BF25B">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27.3.1因情况变化，不再符合规定的竞争性磋商采购方式适用情形的。</w:t>
      </w:r>
    </w:p>
    <w:p w14:paraId="5387A714">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27.3.2出现影响采购公正的违法、违规行为的。</w:t>
      </w:r>
    </w:p>
    <w:p w14:paraId="1E31EBFD">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27.3.3除本磋商文件第二章第27.1.2条第三款规定的情形外，在磋商过程中符合要求的供应商或者最后报价未超过采购预算的供应商不足3家的。</w:t>
      </w:r>
    </w:p>
    <w:p w14:paraId="53257BC9">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27.3.4在苏采云系统规定时间内成功解密电子响应文件的供应商不足3家的。</w:t>
      </w:r>
    </w:p>
    <w:p w14:paraId="036259DB">
      <w:pPr>
        <w:pStyle w:val="10"/>
        <w:keepNext/>
        <w:keepLines/>
        <w:spacing w:beforeAutospacing="0" w:afterAutospacing="0" w:line="460" w:lineRule="exact"/>
        <w:ind w:firstLine="482" w:firstLineChars="200"/>
        <w:jc w:val="both"/>
        <w:rPr>
          <w:rFonts w:ascii="宋体" w:hAnsi="宋体" w:eastAsia="宋体" w:cs="宋体"/>
          <w:color w:val="auto"/>
          <w:highlight w:val="none"/>
        </w:rPr>
      </w:pPr>
      <w:bookmarkStart w:id="139" w:name="_Toc120614219"/>
      <w:bookmarkStart w:id="140" w:name="_Toc513029235"/>
      <w:bookmarkStart w:id="141" w:name="_Toc20823307"/>
      <w:bookmarkStart w:id="142" w:name="_Toc16938551"/>
      <w:r>
        <w:rPr>
          <w:rFonts w:hint="eastAsia" w:ascii="宋体" w:hAnsi="宋体" w:eastAsia="宋体" w:cs="宋体"/>
          <w:b/>
          <w:color w:val="auto"/>
          <w:highlight w:val="none"/>
        </w:rPr>
        <w:t>六、</w:t>
      </w:r>
      <w:bookmarkEnd w:id="139"/>
      <w:bookmarkEnd w:id="140"/>
      <w:bookmarkEnd w:id="141"/>
      <w:bookmarkEnd w:id="142"/>
      <w:r>
        <w:rPr>
          <w:rFonts w:hint="eastAsia" w:ascii="宋体" w:hAnsi="宋体" w:eastAsia="宋体" w:cs="宋体"/>
          <w:b/>
          <w:color w:val="auto"/>
          <w:highlight w:val="none"/>
        </w:rPr>
        <w:t>成交</w:t>
      </w:r>
    </w:p>
    <w:p w14:paraId="0468F855">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143" w:name="_Toc20823310"/>
      <w:bookmarkStart w:id="144" w:name="_Toc16938554"/>
      <w:bookmarkStart w:id="145" w:name="_Toc513029238"/>
      <w:r>
        <w:rPr>
          <w:rFonts w:hint="eastAsia" w:ascii="宋体" w:hAnsi="宋体" w:eastAsia="宋体" w:cs="宋体"/>
          <w:color w:val="auto"/>
          <w:highlight w:val="none"/>
        </w:rPr>
        <w:t>28、</w:t>
      </w:r>
      <w:bookmarkEnd w:id="143"/>
      <w:r>
        <w:rPr>
          <w:rFonts w:hint="eastAsia" w:ascii="宋体" w:hAnsi="宋体" w:eastAsia="宋体" w:cs="宋体"/>
          <w:color w:val="auto"/>
          <w:highlight w:val="none"/>
        </w:rPr>
        <w:t>确定</w:t>
      </w:r>
      <w:bookmarkEnd w:id="144"/>
      <w:bookmarkEnd w:id="145"/>
      <w:r>
        <w:rPr>
          <w:rFonts w:hint="eastAsia" w:ascii="宋体" w:hAnsi="宋体" w:eastAsia="宋体" w:cs="宋体"/>
          <w:color w:val="auto"/>
          <w:highlight w:val="none"/>
        </w:rPr>
        <w:t>成交单位</w:t>
      </w:r>
    </w:p>
    <w:p w14:paraId="4C4960EA">
      <w:pPr>
        <w:pStyle w:val="10"/>
        <w:tabs>
          <w:tab w:val="left" w:pos="901"/>
        </w:tab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F08E9F9">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658F6D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p>
    <w:p w14:paraId="4E27532D">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28.3若有充分证据证明，成交供应商出现下列情况之一的，一经查实，将被取消成交资格：</w:t>
      </w:r>
    </w:p>
    <w:p w14:paraId="73B34767">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28.3.1提供虚假材料谋取成交的。</w:t>
      </w:r>
    </w:p>
    <w:p w14:paraId="636046DA">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28.3.2与评审专家、采购人、其他供应商或者采购代理机构工作人员恶意串通的。</w:t>
      </w:r>
    </w:p>
    <w:p w14:paraId="658D92C0">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28.3.3向评审专家、采购人或采购代理机构工作人员行贿或者提供其他不正当利益的。</w:t>
      </w:r>
    </w:p>
    <w:p w14:paraId="788D573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28.3.4恶意竞争，最后报价明显低于其自身合理成本且又无法提供证明的。</w:t>
      </w:r>
    </w:p>
    <w:p w14:paraId="20914F1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28.3.5不满足本磋商文件规定的实质性要求，但在评审过程中又未被磋商小组发现的。</w:t>
      </w:r>
    </w:p>
    <w:p w14:paraId="28080CEF">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28.3.6成交后无正当理由拒不与采购人签订政府采购合同或者未按照磋商文件确定的事项签订政府采购合同的。</w:t>
      </w:r>
    </w:p>
    <w:p w14:paraId="5A053D2E">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28.3.7将政府采购合同转包的。</w:t>
      </w:r>
    </w:p>
    <w:p w14:paraId="03A2F821">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146" w:name="_Toc200451960"/>
      <w:r>
        <w:rPr>
          <w:rFonts w:hint="eastAsia" w:ascii="宋体" w:hAnsi="宋体" w:eastAsia="宋体" w:cs="宋体"/>
          <w:color w:val="auto"/>
          <w:highlight w:val="none"/>
        </w:rPr>
        <w:t>29、质疑处理</w:t>
      </w:r>
      <w:bookmarkEnd w:id="146"/>
    </w:p>
    <w:p w14:paraId="3FE1E9A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29.1 提出质疑的供应商应当是参与所质疑项目采购活动的供应商。潜在供应商依法获取其可质疑的磋商文件的，可以对磋商文件提出质疑。</w:t>
      </w:r>
    </w:p>
    <w:p w14:paraId="3A8A516E">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29.2供应商认为磋商文件、磋商过程和磋商结果使自己的权益受到损害的，可以在知道或应知其权益受到损害之日起七个工作日内，以书面形式根据下述29.4条款的规定向采购代理机构或采购人提出质疑。上述应知其权益受到损害之日，是指：</w:t>
      </w:r>
    </w:p>
    <w:p w14:paraId="425C973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29.2.1对可以质疑的磋商文件提出质疑的，为收到磋商文件之日或者磋商文件公告期限届满之日。</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29.2.2对磋商过程提出质疑的，为各采购程序环节结束之日。</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29.2.3对成交结果提出质疑的，为成交结果公告期限届满之日。</w:t>
      </w:r>
    </w:p>
    <w:p w14:paraId="35A727E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3A7343AA">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2CB44F8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29.4 供应商（含潜在供应商）对采购方式、采购需求、供应商资格条件、评审方法与评审标准、合同文本的询问、质疑请向采购人提出，由采购人负责答复。供应商对其他事项的询问、质疑请向采购人提出，由采购人负责答复。</w:t>
      </w:r>
    </w:p>
    <w:p w14:paraId="5FF7D887">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采购人及采购代理机构只接收以纸质原件形式送达的质疑,采购人和采购代理机构不接受未填写快递运单的快件。质疑接收部门为盐城市招标代理有限公司业务受理处，联系地址：盐城市青年路钱江财富广场西区A座4楼，联系电话：0515-89803566  15950298580。</w:t>
      </w:r>
    </w:p>
    <w:p w14:paraId="446756B2">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29.5 以下情形的质疑不予受理</w:t>
      </w:r>
    </w:p>
    <w:p w14:paraId="2DC49CFC">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29.5.1 内容不符合《政府采购质疑和投诉办法》第十二条规定的质疑。</w:t>
      </w:r>
    </w:p>
    <w:p w14:paraId="3FFF19E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29.5.2 超出政府采购法定期限的质疑。</w:t>
      </w:r>
    </w:p>
    <w:p w14:paraId="3CD169DF">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29.5.3 以传真、电子邮件等方式递交的非原件形式的质疑。</w:t>
      </w:r>
    </w:p>
    <w:p w14:paraId="01D4F44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29.5.4 未参加磋商活动的供应商或在磋商活动中自身权益未受到损害的供应商所提出的质疑。</w:t>
      </w:r>
    </w:p>
    <w:p w14:paraId="44C7517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29.5.5供应商组成联合体参加磋商，联合体中任何一方或多方未按要求签字、盖章、加盖公章的质疑。</w:t>
      </w:r>
    </w:p>
    <w:p w14:paraId="572F455A">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0BC9517">
      <w:pPr>
        <w:pStyle w:val="10"/>
        <w:keepNext/>
        <w:keepLine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30、成交通知书</w:t>
      </w:r>
    </w:p>
    <w:p w14:paraId="1C7A457E">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E74620D">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30.2成交通知书将是合同的一个组成部分。对采购人和成交供应商均具有法律效力。成交通知书发出后，采购人改变成交结果的，或者成交供应商放弃成交项目的，应当依法承担法律责任。</w:t>
      </w:r>
    </w:p>
    <w:p w14:paraId="478023D5">
      <w:pPr>
        <w:pStyle w:val="10"/>
        <w:keepNext/>
        <w:keepLines/>
        <w:spacing w:beforeAutospacing="0" w:afterAutospacing="0" w:line="460" w:lineRule="exact"/>
        <w:ind w:firstLine="482" w:firstLineChars="200"/>
        <w:jc w:val="both"/>
        <w:rPr>
          <w:rFonts w:ascii="宋体" w:hAnsi="宋体" w:eastAsia="宋体" w:cs="宋体"/>
          <w:color w:val="auto"/>
          <w:highlight w:val="none"/>
        </w:rPr>
      </w:pPr>
      <w:bookmarkStart w:id="147" w:name="_Toc513029236"/>
      <w:bookmarkStart w:id="148" w:name="_Toc120614220"/>
      <w:bookmarkStart w:id="149" w:name="_Toc20823308"/>
      <w:bookmarkStart w:id="150" w:name="_Toc16938552"/>
      <w:r>
        <w:rPr>
          <w:rFonts w:hint="eastAsia" w:ascii="宋体" w:hAnsi="宋体" w:eastAsia="宋体" w:cs="宋体"/>
          <w:b/>
          <w:color w:val="auto"/>
          <w:highlight w:val="none"/>
        </w:rPr>
        <w:t>七、授予合同</w:t>
      </w:r>
      <w:bookmarkEnd w:id="147"/>
      <w:bookmarkEnd w:id="148"/>
      <w:bookmarkEnd w:id="149"/>
      <w:bookmarkEnd w:id="150"/>
    </w:p>
    <w:p w14:paraId="51383173">
      <w:pPr>
        <w:pStyle w:val="10"/>
        <w:keepNext/>
        <w:keepLines/>
        <w:spacing w:beforeAutospacing="0" w:afterAutospacing="0" w:line="460" w:lineRule="exact"/>
        <w:ind w:firstLine="480" w:firstLineChars="200"/>
        <w:jc w:val="both"/>
        <w:rPr>
          <w:rFonts w:ascii="宋体" w:hAnsi="宋体" w:eastAsia="宋体" w:cs="宋体"/>
          <w:color w:val="auto"/>
          <w:highlight w:val="none"/>
        </w:rPr>
      </w:pPr>
      <w:bookmarkStart w:id="151" w:name="_Toc16938553"/>
      <w:bookmarkStart w:id="152" w:name="_Toc513029237"/>
      <w:bookmarkStart w:id="153" w:name="_Toc20823309"/>
      <w:r>
        <w:rPr>
          <w:rFonts w:hint="eastAsia" w:ascii="宋体" w:hAnsi="宋体" w:eastAsia="宋体" w:cs="宋体"/>
          <w:color w:val="auto"/>
          <w:highlight w:val="none"/>
        </w:rPr>
        <w:t>31.签订合同</w:t>
      </w:r>
      <w:bookmarkEnd w:id="151"/>
      <w:bookmarkEnd w:id="152"/>
      <w:bookmarkEnd w:id="153"/>
    </w:p>
    <w:p w14:paraId="4210901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31.l成交供应商应当在成交通知书发出之日起三十日内，按照磋商文件确定的事项与采购人签订政府采购合同。</w:t>
      </w:r>
    </w:p>
    <w:p w14:paraId="7859BE61">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31.2磋商文件、成交供应商的响应文件及磋商过程中有关澄清、承诺文件均应作为合同附件。</w:t>
      </w:r>
    </w:p>
    <w:p w14:paraId="1F54B377">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31.3 签订合同后，</w:t>
      </w:r>
      <w:r>
        <w:rPr>
          <w:rFonts w:hint="eastAsia" w:ascii="宋体" w:hAnsi="宋体" w:eastAsia="宋体" w:cs="宋体"/>
          <w:i/>
          <w:color w:val="auto"/>
          <w:highlight w:val="none"/>
          <w:u w:val="single"/>
        </w:rPr>
        <w:t>成交供应商不得将合同标的进行转包</w:t>
      </w:r>
      <w:r>
        <w:rPr>
          <w:rFonts w:hint="eastAsia" w:ascii="宋体" w:hAnsi="宋体" w:eastAsia="宋体" w:cs="宋体"/>
          <w:color w:val="auto"/>
          <w:highlight w:val="none"/>
        </w:rPr>
        <w:t>。未经采购人同意，成交供应商也不得采用分包形式履行合同,否则采购人有权终止合同。转包或分包造成采购人损失的，成交供应商应承担相应赔偿责任。</w:t>
      </w:r>
    </w:p>
    <w:p w14:paraId="424555F1">
      <w:pPr>
        <w:pStyle w:val="10"/>
        <w:keepNext/>
        <w:keepLine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32.标的物的追加</w:t>
      </w:r>
    </w:p>
    <w:p w14:paraId="16EBF0A4">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33.政府采购政策功能落实</w:t>
      </w:r>
    </w:p>
    <w:p w14:paraId="3EA2C724">
      <w:pPr>
        <w:pStyle w:val="10"/>
        <w:keepNext/>
        <w:keepLines/>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33.1政府采购线上合同信用融资政策</w:t>
      </w:r>
    </w:p>
    <w:p w14:paraId="7831DEFD">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pPr>
        <w:tabs>
          <w:tab w:val="left" w:pos="1381"/>
        </w:tabs>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33.2进口产品</w:t>
      </w:r>
    </w:p>
    <w:p w14:paraId="5E25FDB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tabs>
          <w:tab w:val="left" w:pos="1381"/>
        </w:tabs>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33.3中小企业、监狱企业及残疾人福利性单位</w:t>
      </w:r>
    </w:p>
    <w:p w14:paraId="63807B9C">
      <w:pPr>
        <w:spacing w:line="4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33.3.1中小企业定义：</w:t>
      </w:r>
    </w:p>
    <w:p w14:paraId="4C9CBD8E">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33.3.2供应商提供的货物、工程或者服务符合下列情形的，享受中小企业扶持政策：</w:t>
      </w:r>
    </w:p>
    <w:p w14:paraId="6761BEF4">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33.3.2.1在货物采购项目中，货物由中小企业制造，即货物由中小企业生产且使用该中小企业商号或者注册商标；</w:t>
      </w:r>
    </w:p>
    <w:p w14:paraId="31163D4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33.3.2.2在工程采购项目中，工程由中小企业承建，即工程施工单位为中小企业；</w:t>
      </w:r>
    </w:p>
    <w:p w14:paraId="4DFC19BD">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33.3.2.3在服务采购项目中，服务由中小企业承接，即提供服务的人员为中小企业依照《中华人民共和国劳动合同法》订立劳动合同的从业人员。</w:t>
      </w:r>
    </w:p>
    <w:p w14:paraId="3EA95C77">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33.3.3在货物采购项目中，供应商提供的货物既有中小企业制造货物，也有大型企业制造货物的，不享受中小企业扶持政策。</w:t>
      </w:r>
    </w:p>
    <w:p w14:paraId="18C13D1A">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33.3.4以联合体形式参加政府采购活动，联合体各方均为中小企业的，联合体视同中小企业。其中，联合体各方均为小微企业的，联合体视同小微企业。</w:t>
      </w:r>
    </w:p>
    <w:p w14:paraId="34D8F3DF">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33.3.6残疾人福利单位定义：享受政府采购支持政策的残疾人福利性单位应当同时满足以下条件：</w:t>
      </w:r>
    </w:p>
    <w:p w14:paraId="2C10A4F6">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33.3.6.1安置的残疾人占本单位在职职工人数的比例不低于25%（含25%），并且安置的残疾人人数不少于10 人（含10 人）；</w:t>
      </w:r>
    </w:p>
    <w:p w14:paraId="273AB3B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33.3.6.2依法与安置的每位残疾人签订了一年以上（含一年）的劳动合同或服务协议；</w:t>
      </w:r>
    </w:p>
    <w:p w14:paraId="25054FF3">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33.3.6.3为安置的每位残疾人按月足额缴纳了基本养老保险、基本医疗保险、失业保险、工伤保险和生育保险等社会保险费；</w:t>
      </w:r>
    </w:p>
    <w:p w14:paraId="2B08B5C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33.3.6.4通过银行等金融机构向安置的每位残疾人，按月支付了不低于单位所在区县适用的经省级人民政府批准的月最低工资标准的工资；</w:t>
      </w:r>
    </w:p>
    <w:p w14:paraId="20CB233D">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33.3.6.5提供本单位制造的货物、承担的工程或者服务（以下简称产品），或者提供其他残疾人福利性单位制造的货物（不包括使用非残疾人福利性单位注册商标的货物）；</w:t>
      </w:r>
    </w:p>
    <w:p w14:paraId="3B85C34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33.3.7本项目是否专门面向中小企业预留采购份额见第一章《竞争性磋商公告》。</w:t>
      </w:r>
    </w:p>
    <w:p w14:paraId="66321B5E">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33.3.8采购标的对应的中小企业划分标准所属行业见第四章《采购需求》。</w:t>
      </w:r>
    </w:p>
    <w:p w14:paraId="3CD37815">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33.3.9小微企业价格评审优惠的政策：见第五章《评标方法和评标标准》。</w:t>
      </w:r>
    </w:p>
    <w:p w14:paraId="24130294">
      <w:pPr>
        <w:tabs>
          <w:tab w:val="left" w:pos="1381"/>
        </w:tabs>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33.4政府采购节能产品、环境标志产品</w:t>
      </w:r>
    </w:p>
    <w:p w14:paraId="56196F77">
      <w:pPr>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sz w:val="24"/>
          <w:highlight w:val="none"/>
        </w:rPr>
        <w:t>33.4.1</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3644E8D9">
      <w:pPr>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sz w:val="24"/>
          <w:highlight w:val="none"/>
        </w:rPr>
        <w:t>33.4.2</w:t>
      </w:r>
      <w:r>
        <w:rPr>
          <w:rFonts w:hint="eastAsia" w:ascii="宋体" w:hAnsi="宋体" w:eastAsia="宋体" w:cs="宋体"/>
          <w:color w:val="auto"/>
          <w:kern w:val="0"/>
          <w:sz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tabs>
          <w:tab w:val="left" w:pos="1381"/>
        </w:tabs>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33.5绿色包装</w:t>
      </w:r>
    </w:p>
    <w:p w14:paraId="3C828DB7">
      <w:pPr>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33.6政府采购创新产品</w:t>
      </w:r>
    </w:p>
    <w:p w14:paraId="2D9B3368">
      <w:pPr>
        <w:pBdr>
          <w:top w:val="none" w:color="000000" w:sz="0" w:space="0"/>
          <w:left w:val="none" w:color="000000" w:sz="0" w:space="0"/>
          <w:bottom w:val="none" w:color="000000" w:sz="0" w:space="0"/>
          <w:right w:val="none" w:color="000000" w:sz="0" w:space="0"/>
        </w:pBdr>
        <w:spacing w:line="460" w:lineRule="exact"/>
        <w:ind w:firstLine="480" w:firstLineChars="200"/>
        <w:rPr>
          <w:rFonts w:ascii="宋体" w:hAnsi="宋体" w:eastAsia="宋体" w:cs="宋体"/>
          <w:color w:val="auto"/>
          <w:sz w:val="24"/>
          <w:highlight w:val="none"/>
        </w:rPr>
      </w:pPr>
      <w:r>
        <w:rPr>
          <w:rFonts w:hint="eastAsia" w:ascii="宋体" w:hAnsi="宋体" w:eastAsia="宋体" w:cs="宋体"/>
          <w:color w:val="auto"/>
          <w:kern w:val="0"/>
          <w:sz w:val="24"/>
          <w:highlight w:val="none"/>
        </w:rPr>
        <w:t>采购人优先采购各级政府部门公开发布的有效期内的创新产品、创新服务、首台套、首购首用等《目录》的创新产品</w:t>
      </w:r>
      <w:r>
        <w:rPr>
          <w:rFonts w:hint="eastAsia" w:ascii="宋体" w:hAnsi="宋体" w:eastAsia="宋体" w:cs="宋体"/>
          <w:color w:val="auto"/>
          <w:sz w:val="24"/>
          <w:highlight w:val="none"/>
        </w:rPr>
        <w:t>。</w:t>
      </w:r>
    </w:p>
    <w:p w14:paraId="57947BB5">
      <w:pPr>
        <w:tabs>
          <w:tab w:val="left" w:pos="1381"/>
        </w:tabs>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33.7绿色数据中心政策 </w:t>
      </w:r>
    </w:p>
    <w:p w14:paraId="722A8D32">
      <w:pPr>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highlight w:val="none"/>
        </w:rPr>
        <w:t>磋商</w:t>
      </w:r>
      <w:r>
        <w:rPr>
          <w:rFonts w:hint="eastAsia" w:ascii="宋体" w:hAnsi="宋体" w:eastAsia="宋体" w:cs="宋体"/>
          <w:color w:val="auto"/>
          <w:kern w:val="0"/>
          <w:sz w:val="24"/>
          <w:highlight w:val="none"/>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spacing w:line="460" w:lineRule="exact"/>
        <w:ind w:firstLine="482" w:firstLineChars="200"/>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33.8实施本国产品标准及相关政策</w:t>
      </w:r>
    </w:p>
    <w:p w14:paraId="510E6799">
      <w:pPr>
        <w:spacing w:line="460" w:lineRule="exact"/>
        <w:ind w:firstLine="482" w:firstLineChars="200"/>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1.本项目对采购本国产品给予政策支持，具体内容见招标文件“第五章 评标方法与评标标准”。</w:t>
      </w:r>
    </w:p>
    <w:p w14:paraId="6E8BCEDC">
      <w:pPr>
        <w:spacing w:line="460" w:lineRule="exact"/>
        <w:ind w:firstLine="482" w:firstLineChars="200"/>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9ED41C">
      <w:pPr>
        <w:spacing w:line="460" w:lineRule="exact"/>
        <w:ind w:firstLine="482" w:firstLineChars="200"/>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807C90">
      <w:pPr>
        <w:spacing w:line="460" w:lineRule="exact"/>
        <w:ind w:firstLine="482" w:firstLineChars="200"/>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034807A4">
      <w:pPr>
        <w:tabs>
          <w:tab w:val="left" w:pos="1381"/>
        </w:tabs>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33.9履约保证金政策</w:t>
      </w:r>
    </w:p>
    <w:p w14:paraId="40F02B3A">
      <w:pPr>
        <w:pStyle w:val="20"/>
        <w:spacing w:after="0" w:line="460" w:lineRule="exact"/>
        <w:ind w:left="0"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确需收取履约保证金的，履约保证金的缴纳形式：</w:t>
      </w:r>
    </w:p>
    <w:p w14:paraId="5EB031AC">
      <w:pPr>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如以履约保函（保险）形式缴纳履约保证金，供应商可通过政府采购电子履约保函（保险）平台（www.jsdzbh.com）在线申请履约保函（保险）。</w:t>
      </w:r>
    </w:p>
    <w:p w14:paraId="57E6C93D">
      <w:pPr>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履约保证金金额</w:t>
      </w:r>
      <w:r>
        <w:rPr>
          <w:rFonts w:hint="eastAsia" w:ascii="宋体" w:hAnsi="宋体" w:eastAsia="宋体" w:cs="宋体"/>
          <w:color w:val="auto"/>
          <w:sz w:val="24"/>
          <w:highlight w:val="none"/>
        </w:rPr>
        <w:t>：合同金额的10%，</w:t>
      </w:r>
      <w:r>
        <w:rPr>
          <w:rFonts w:hint="eastAsia" w:ascii="宋体" w:hAnsi="宋体" w:eastAsia="宋体" w:cs="宋体"/>
          <w:color w:val="auto"/>
          <w:kern w:val="0"/>
          <w:sz w:val="24"/>
          <w:highlight w:val="none"/>
        </w:rPr>
        <w:t>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tabs>
          <w:tab w:val="left" w:pos="1381"/>
        </w:tabs>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34. 预付款制度</w:t>
      </w:r>
    </w:p>
    <w:p w14:paraId="23108FD2">
      <w:pPr>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本项目落实预付款制度</w:t>
      </w:r>
      <w:r>
        <w:rPr>
          <w:rFonts w:hint="eastAsia" w:ascii="宋体" w:hAnsi="宋体" w:eastAsia="宋体" w:cs="宋体"/>
          <w:color w:val="auto"/>
          <w:sz w:val="24"/>
          <w:highlight w:val="none"/>
        </w:rPr>
        <w:t>，预付款比例为30%。</w:t>
      </w:r>
      <w:r>
        <w:rPr>
          <w:rFonts w:hint="eastAsia" w:ascii="宋体" w:hAnsi="宋体" w:eastAsia="宋体" w:cs="宋体"/>
          <w:color w:val="auto"/>
          <w:kern w:val="0"/>
          <w:sz w:val="24"/>
          <w:highlight w:val="none"/>
        </w:rPr>
        <w:t>在签订合同时，中标、成交供应商明确书面表示无需预付款或者主动要求降低预付款比例的，采购人可就预付款比例作相应调整。</w:t>
      </w:r>
    </w:p>
    <w:p w14:paraId="53289C7D">
      <w:pPr>
        <w:pStyle w:val="20"/>
        <w:spacing w:after="0" w:line="520" w:lineRule="exact"/>
        <w:ind w:left="0" w:firstLine="560"/>
        <w:rPr>
          <w:rFonts w:ascii="宋体" w:hAnsi="宋体" w:eastAsia="宋体" w:cs="宋体"/>
          <w:color w:val="auto"/>
          <w:kern w:val="0"/>
          <w:sz w:val="24"/>
          <w:highlight w:val="none"/>
        </w:rPr>
      </w:pPr>
    </w:p>
    <w:p w14:paraId="531EBA22">
      <w:pPr>
        <w:pStyle w:val="10"/>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 </w:t>
      </w:r>
    </w:p>
    <w:p w14:paraId="2D2A0B08">
      <w:pPr>
        <w:pStyle w:val="10"/>
        <w:keepNext/>
        <w:spacing w:beforeAutospacing="0" w:afterAutospacing="0"/>
        <w:ind w:firstLine="2640"/>
        <w:jc w:val="both"/>
        <w:rPr>
          <w:rFonts w:ascii="宋体" w:hAnsi="宋体" w:eastAsia="宋体" w:cs="宋体"/>
          <w:color w:val="auto"/>
          <w:highlight w:val="none"/>
        </w:rPr>
      </w:pPr>
    </w:p>
    <w:p w14:paraId="253DB53E">
      <w:pPr>
        <w:pStyle w:val="10"/>
        <w:keepNext/>
        <w:spacing w:beforeAutospacing="0" w:afterAutospacing="0"/>
        <w:jc w:val="both"/>
        <w:rPr>
          <w:rFonts w:ascii="宋体" w:hAnsi="宋体" w:eastAsia="宋体" w:cs="宋体"/>
          <w:color w:val="auto"/>
          <w:highlight w:val="none"/>
        </w:rPr>
      </w:pPr>
    </w:p>
    <w:p w14:paraId="1A0F05AC">
      <w:pPr>
        <w:pStyle w:val="10"/>
        <w:keepNext/>
        <w:spacing w:beforeAutospacing="0" w:afterAutospacing="0"/>
        <w:jc w:val="both"/>
        <w:rPr>
          <w:rFonts w:ascii="宋体" w:hAnsi="宋体" w:eastAsia="宋体" w:cs="宋体"/>
          <w:color w:val="auto"/>
          <w:highlight w:val="none"/>
        </w:rPr>
      </w:pPr>
    </w:p>
    <w:p w14:paraId="7C8A780D">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11832DB3">
      <w:pPr>
        <w:pStyle w:val="10"/>
        <w:keepNext/>
        <w:spacing w:beforeAutospacing="0" w:afterAutospacing="0"/>
        <w:ind w:firstLine="2640"/>
        <w:jc w:val="both"/>
        <w:rPr>
          <w:color w:val="auto"/>
          <w:highlight w:val="none"/>
        </w:rPr>
      </w:pPr>
      <w:r>
        <w:rPr>
          <w:rFonts w:hint="eastAsia" w:ascii="黑体" w:hAnsi="宋体" w:eastAsia="黑体" w:cs="黑体"/>
          <w:color w:val="auto"/>
          <w:sz w:val="44"/>
          <w:szCs w:val="44"/>
          <w:highlight w:val="none"/>
        </w:rPr>
        <w:t>第三章  合同文本</w:t>
      </w:r>
    </w:p>
    <w:p w14:paraId="7CA38288">
      <w:pPr>
        <w:pStyle w:val="10"/>
        <w:spacing w:beforeAutospacing="0" w:afterAutospacing="0" w:line="440" w:lineRule="exact"/>
        <w:ind w:firstLine="480" w:firstLineChars="200"/>
        <w:jc w:val="both"/>
        <w:rPr>
          <w:rFonts w:ascii="宋体" w:hAnsi="宋体" w:eastAsia="宋体" w:cs="宋体"/>
          <w:color w:val="auto"/>
          <w:highlight w:val="none"/>
        </w:rPr>
      </w:pPr>
      <w:bookmarkStart w:id="154" w:name="_Toc20823315"/>
      <w:bookmarkStart w:id="155" w:name="_Toc513029243"/>
      <w:bookmarkStart w:id="156" w:name="_Toc16938559"/>
      <w:bookmarkStart w:id="157" w:name="_Toc479757211"/>
      <w:bookmarkStart w:id="158" w:name="_Toc20823346"/>
      <w:bookmarkStart w:id="159" w:name="_Toc120614244"/>
      <w:bookmarkStart w:id="160" w:name="_Toc462564139"/>
      <w:bookmarkStart w:id="161" w:name="_Toc16938590"/>
      <w:bookmarkStart w:id="162" w:name="_Hlt16619369"/>
      <w:bookmarkStart w:id="163" w:name="_Hlt16619350"/>
      <w:r>
        <w:rPr>
          <w:rFonts w:hint="eastAsia" w:ascii="宋体" w:hAnsi="宋体" w:eastAsia="宋体" w:cs="宋体"/>
          <w:color w:val="auto"/>
          <w:highlight w:val="none"/>
        </w:rPr>
        <w:t>以下为中标后签定本项目合同的通用条款，中标人不得提出实质性的修改。</w:t>
      </w:r>
      <w:bookmarkEnd w:id="154"/>
      <w:bookmarkEnd w:id="155"/>
      <w:bookmarkEnd w:id="156"/>
    </w:p>
    <w:p w14:paraId="76706DA4">
      <w:pPr>
        <w:pStyle w:val="10"/>
        <w:spacing w:beforeAutospacing="0" w:afterAutospacing="0" w:line="440" w:lineRule="exact"/>
        <w:ind w:firstLine="480" w:firstLineChars="200"/>
        <w:jc w:val="both"/>
        <w:rPr>
          <w:rFonts w:ascii="宋体" w:hAnsi="宋体" w:eastAsia="宋体" w:cs="宋体"/>
          <w:color w:val="auto"/>
          <w:highlight w:val="none"/>
        </w:rPr>
      </w:pPr>
    </w:p>
    <w:p w14:paraId="68EEAEC0">
      <w:pPr>
        <w:spacing w:line="440" w:lineRule="exact"/>
        <w:ind w:firstLine="420" w:firstLineChars="200"/>
        <w:outlineLvl w:val="0"/>
        <w:rPr>
          <w:rFonts w:ascii="宋体" w:hAnsi="宋体" w:cs="宋体"/>
          <w:color w:val="auto"/>
          <w:szCs w:val="21"/>
          <w:highlight w:val="none"/>
        </w:rPr>
      </w:pPr>
      <w:r>
        <w:rPr>
          <w:rFonts w:hint="eastAsia" w:ascii="宋体" w:hAnsi="宋体" w:cs="宋体"/>
          <w:color w:val="auto"/>
          <w:szCs w:val="21"/>
          <w:highlight w:val="none"/>
          <w:lang w:val="zh-CN"/>
        </w:rPr>
        <w:t>根据《中华人民共和国民法典》、《中华人民共和国政府采购法》等相关法律法规之规定，按照平等、自愿、公平和诚实信用的原则，经</w:t>
      </w:r>
      <w:r>
        <w:rPr>
          <w:rFonts w:hint="eastAsia" w:ascii="宋体" w:hAnsi="宋体" w:cs="宋体"/>
          <w:b/>
          <w:color w:val="auto"/>
          <w:highlight w:val="none"/>
          <w:u w:val="single"/>
        </w:rPr>
        <w:t>盐城市亭湖区机关事务服务中心</w:t>
      </w:r>
      <w:r>
        <w:rPr>
          <w:rFonts w:hint="eastAsia" w:ascii="宋体" w:hAnsi="宋体" w:cs="宋体"/>
          <w:color w:val="auto"/>
          <w:szCs w:val="21"/>
          <w:highlight w:val="none"/>
          <w:lang w:val="zh-CN"/>
        </w:rPr>
        <w:t>(以下简称：甲方)和</w:t>
      </w:r>
      <w:r>
        <w:rPr>
          <w:rFonts w:hint="eastAsia" w:ascii="宋体" w:hAnsi="宋体" w:cs="宋体"/>
          <w:color w:val="auto"/>
          <w:szCs w:val="21"/>
          <w:highlight w:val="none"/>
          <w:u w:val="single"/>
        </w:rPr>
        <w:t xml:space="preserve">   （中标供应商名称）   </w:t>
      </w:r>
      <w:r>
        <w:rPr>
          <w:rFonts w:hint="eastAsia" w:ascii="宋体" w:hAnsi="宋体" w:cs="宋体"/>
          <w:color w:val="auto"/>
          <w:szCs w:val="21"/>
          <w:highlight w:val="none"/>
          <w:lang w:val="zh-CN"/>
        </w:rPr>
        <w:t>(以下简称：乙方)协商一致，约定以下合同</w:t>
      </w:r>
      <w:r>
        <w:rPr>
          <w:rFonts w:hint="eastAsia" w:ascii="宋体" w:hAnsi="宋体" w:cs="宋体"/>
          <w:color w:val="auto"/>
          <w:szCs w:val="21"/>
          <w:highlight w:val="none"/>
        </w:rPr>
        <w:t>条款，以兹共同遵守、全面履行。</w:t>
      </w:r>
    </w:p>
    <w:p w14:paraId="67E5AED6">
      <w:pPr>
        <w:spacing w:line="440" w:lineRule="exact"/>
        <w:ind w:firstLine="420" w:firstLineChars="200"/>
        <w:outlineLvl w:val="0"/>
        <w:rPr>
          <w:rFonts w:ascii="宋体" w:hAnsi="宋体"/>
          <w:color w:val="auto"/>
          <w:highlight w:val="none"/>
          <w:lang w:val="zh-CN"/>
        </w:rPr>
      </w:pPr>
      <w:r>
        <w:rPr>
          <w:rFonts w:hint="eastAsia" w:ascii="宋体" w:hAnsi="宋体"/>
          <w:color w:val="auto"/>
          <w:highlight w:val="none"/>
          <w:lang w:val="zh-CN"/>
        </w:rPr>
        <w:t>本合同的组成部分，构成一个整体，需综合解释、相互补充。如果下列文件内容出现不一致的情形，那么在保证按照招标文件确定的事项的前提下，组成本合同的多个文件的优先适用顺序如下：本合同及其补充合同、变更协议； 中标通知书；投标文件（含澄清或者说明文件）；招标文件（含澄清或者修改文件）；其他相关招标文件。</w:t>
      </w:r>
    </w:p>
    <w:p w14:paraId="791A7B43">
      <w:pPr>
        <w:spacing w:line="440" w:lineRule="exact"/>
        <w:ind w:firstLine="422" w:firstLineChars="200"/>
        <w:rPr>
          <w:color w:val="auto"/>
          <w:highlight w:val="none"/>
        </w:rPr>
      </w:pPr>
      <w:r>
        <w:rPr>
          <w:rFonts w:ascii="宋体" w:hAnsi="宋体" w:cs="宋体"/>
          <w:b/>
          <w:color w:val="auto"/>
          <w:szCs w:val="21"/>
          <w:highlight w:val="none"/>
        </w:rPr>
        <w:t>一、</w:t>
      </w:r>
      <w:r>
        <w:rPr>
          <w:rFonts w:hint="eastAsia" w:ascii="宋体" w:hAnsi="宋体" w:cs="宋体"/>
          <w:b/>
          <w:color w:val="auto"/>
          <w:szCs w:val="21"/>
          <w:highlight w:val="none"/>
        </w:rPr>
        <w:t>采购</w:t>
      </w:r>
      <w:r>
        <w:rPr>
          <w:rFonts w:ascii="宋体" w:hAnsi="宋体" w:cs="宋体"/>
          <w:b/>
          <w:color w:val="auto"/>
          <w:szCs w:val="21"/>
          <w:highlight w:val="none"/>
        </w:rPr>
        <w:t>内容</w:t>
      </w:r>
    </w:p>
    <w:p w14:paraId="27B77FA1">
      <w:pPr>
        <w:spacing w:line="440" w:lineRule="exact"/>
        <w:ind w:firstLine="420" w:firstLineChars="200"/>
        <w:rPr>
          <w:rFonts w:ascii="宋体" w:hAnsi="宋体" w:cs="宋体"/>
          <w:color w:val="auto"/>
          <w:szCs w:val="21"/>
          <w:highlight w:val="none"/>
          <w:u w:val="single"/>
        </w:rPr>
      </w:pP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名称：</w:t>
      </w:r>
      <w:r>
        <w:rPr>
          <w:rFonts w:hint="eastAsia" w:ascii="宋体" w:hAnsi="宋体" w:cs="宋体"/>
          <w:color w:val="auto"/>
          <w:szCs w:val="21"/>
          <w:highlight w:val="none"/>
          <w:u w:val="single"/>
        </w:rPr>
        <w:t>2026年-2028年盐城市亭湖区行政中心食堂服务外包项目</w:t>
      </w:r>
    </w:p>
    <w:p w14:paraId="5A4738BD">
      <w:pPr>
        <w:spacing w:line="440" w:lineRule="exact"/>
        <w:ind w:firstLine="420" w:firstLineChars="200"/>
        <w:rPr>
          <w:color w:val="auto"/>
          <w:highlight w:val="none"/>
        </w:rPr>
      </w:pPr>
      <w:r>
        <w:rPr>
          <w:rFonts w:ascii="宋体" w:hAnsi="宋体" w:cs="宋体"/>
          <w:color w:val="auto"/>
          <w:highlight w:val="none"/>
        </w:rPr>
        <w:t>2</w:t>
      </w:r>
      <w:r>
        <w:rPr>
          <w:rFonts w:hint="eastAsia" w:ascii="宋体" w:hAnsi="宋体" w:cs="宋体"/>
          <w:color w:val="auto"/>
          <w:highlight w:val="none"/>
        </w:rPr>
        <w:t>.</w:t>
      </w:r>
      <w:r>
        <w:rPr>
          <w:rFonts w:hint="eastAsia" w:ascii="宋体" w:hAnsi="宋体" w:cs="宋体"/>
          <w:b/>
          <w:color w:val="auto"/>
          <w:szCs w:val="21"/>
          <w:highlight w:val="none"/>
        </w:rPr>
        <w:t>标的明细内容及</w:t>
      </w:r>
      <w:r>
        <w:rPr>
          <w:rFonts w:ascii="宋体" w:hAnsi="宋体" w:cs="宋体"/>
          <w:b/>
          <w:color w:val="auto"/>
          <w:szCs w:val="21"/>
          <w:highlight w:val="none"/>
        </w:rPr>
        <w:t>分项价格</w:t>
      </w:r>
    </w:p>
    <w:p w14:paraId="457726F7">
      <w:pPr>
        <w:spacing w:line="440" w:lineRule="exact"/>
        <w:ind w:firstLine="422" w:firstLineChars="200"/>
        <w:rPr>
          <w:color w:val="auto"/>
          <w:highlight w:val="none"/>
        </w:rPr>
      </w:pPr>
      <w:r>
        <w:rPr>
          <w:rFonts w:hint="eastAsia" w:ascii="宋体" w:hAnsi="宋体" w:cs="宋体"/>
          <w:b/>
          <w:color w:val="auto"/>
          <w:szCs w:val="21"/>
          <w:highlight w:val="none"/>
        </w:rPr>
        <w:t>略，详见合同附件：《投标分项报价表》</w:t>
      </w:r>
    </w:p>
    <w:p w14:paraId="0B34F26A">
      <w:pPr>
        <w:spacing w:line="44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二</w:t>
      </w:r>
      <w:r>
        <w:rPr>
          <w:rFonts w:ascii="宋体" w:hAnsi="宋体" w:cs="宋体"/>
          <w:b/>
          <w:color w:val="auto"/>
          <w:szCs w:val="21"/>
          <w:highlight w:val="none"/>
        </w:rPr>
        <w:t>、</w:t>
      </w:r>
      <w:r>
        <w:rPr>
          <w:rFonts w:hint="eastAsia" w:ascii="宋体" w:hAnsi="宋体" w:cs="宋体"/>
          <w:b/>
          <w:color w:val="auto"/>
          <w:szCs w:val="21"/>
          <w:highlight w:val="none"/>
        </w:rPr>
        <w:t>合同期限和服务地点</w:t>
      </w:r>
    </w:p>
    <w:p w14:paraId="20854439">
      <w:pPr>
        <w:spacing w:line="440" w:lineRule="exact"/>
        <w:ind w:firstLine="420" w:firstLineChars="200"/>
        <w:rPr>
          <w:rFonts w:ascii="宋体" w:hAnsi="宋体"/>
          <w:b/>
          <w:color w:val="auto"/>
          <w:szCs w:val="21"/>
          <w:highlight w:val="none"/>
        </w:rPr>
      </w:pPr>
      <w:r>
        <w:rPr>
          <w:rFonts w:hint="eastAsia" w:ascii="宋体" w:hAnsi="宋体"/>
          <w:color w:val="auto"/>
          <w:highlight w:val="none"/>
          <w:lang w:val="zh-CN"/>
        </w:rPr>
        <w:t>1.本项目服务期限：</w:t>
      </w:r>
      <w:r>
        <w:rPr>
          <w:rFonts w:hint="eastAsia" w:ascii="宋体" w:hAnsi="宋体"/>
          <w:color w:val="auto"/>
          <w:highlight w:val="none"/>
        </w:rPr>
        <w:t>两年</w:t>
      </w:r>
    </w:p>
    <w:p w14:paraId="03954FA6">
      <w:pPr>
        <w:spacing w:line="440" w:lineRule="exact"/>
        <w:ind w:firstLine="420" w:firstLineChars="200"/>
        <w:rPr>
          <w:rFonts w:ascii="宋体" w:hAnsi="宋体"/>
          <w:color w:val="auto"/>
          <w:highlight w:val="none"/>
          <w:lang w:val="zh-CN"/>
        </w:rPr>
      </w:pPr>
      <w:r>
        <w:rPr>
          <w:rFonts w:hint="eastAsia" w:ascii="宋体" w:hAnsi="宋体"/>
          <w:color w:val="auto"/>
          <w:highlight w:val="none"/>
          <w:lang w:val="zh-CN"/>
        </w:rPr>
        <w:t>2.本次合同签订服务期为自202</w:t>
      </w:r>
      <w:r>
        <w:rPr>
          <w:rFonts w:hint="eastAsia" w:ascii="宋体" w:hAnsi="宋体"/>
          <w:color w:val="auto"/>
          <w:highlight w:val="none"/>
        </w:rPr>
        <w:t xml:space="preserve">  </w:t>
      </w:r>
      <w:r>
        <w:rPr>
          <w:rFonts w:hint="eastAsia" w:ascii="宋体" w:hAnsi="宋体"/>
          <w:color w:val="auto"/>
          <w:highlight w:val="none"/>
          <w:lang w:val="zh-CN"/>
        </w:rPr>
        <w:t>年     月  日起到202</w:t>
      </w:r>
      <w:r>
        <w:rPr>
          <w:rFonts w:hint="eastAsia" w:ascii="宋体" w:hAnsi="宋体"/>
          <w:color w:val="auto"/>
          <w:highlight w:val="none"/>
        </w:rPr>
        <w:t xml:space="preserve">  </w:t>
      </w:r>
      <w:r>
        <w:rPr>
          <w:rFonts w:hint="eastAsia" w:ascii="宋体" w:hAnsi="宋体"/>
          <w:color w:val="auto"/>
          <w:highlight w:val="none"/>
          <w:lang w:val="zh-CN"/>
        </w:rPr>
        <w:t>年  月  日止。</w:t>
      </w:r>
    </w:p>
    <w:p w14:paraId="0DC8BCF6">
      <w:pPr>
        <w:spacing w:line="440" w:lineRule="exact"/>
        <w:ind w:firstLine="420" w:firstLineChars="200"/>
        <w:rPr>
          <w:rFonts w:ascii="宋体" w:hAnsi="宋体"/>
          <w:color w:val="auto"/>
          <w:highlight w:val="none"/>
        </w:rPr>
      </w:pPr>
      <w:r>
        <w:rPr>
          <w:rFonts w:hint="eastAsia" w:ascii="宋体" w:hAnsi="宋体"/>
          <w:color w:val="auto"/>
          <w:highlight w:val="none"/>
        </w:rPr>
        <w:t>3.服务地点：亭湖区行政中心</w:t>
      </w:r>
    </w:p>
    <w:p w14:paraId="2C4A997F">
      <w:pPr>
        <w:spacing w:line="440" w:lineRule="exact"/>
        <w:ind w:firstLine="422" w:firstLineChars="200"/>
        <w:rPr>
          <w:color w:val="auto"/>
          <w:highlight w:val="none"/>
        </w:rPr>
      </w:pPr>
      <w:r>
        <w:rPr>
          <w:rFonts w:hint="eastAsia" w:ascii="宋体" w:hAnsi="宋体" w:cs="宋体"/>
          <w:b/>
          <w:color w:val="auto"/>
          <w:szCs w:val="21"/>
          <w:highlight w:val="none"/>
        </w:rPr>
        <w:t>三</w:t>
      </w:r>
      <w:r>
        <w:rPr>
          <w:rFonts w:ascii="宋体" w:hAnsi="宋体" w:cs="宋体"/>
          <w:b/>
          <w:color w:val="auto"/>
          <w:szCs w:val="21"/>
          <w:highlight w:val="none"/>
        </w:rPr>
        <w:t>、合同金额</w:t>
      </w:r>
      <w:r>
        <w:rPr>
          <w:rFonts w:hint="eastAsia" w:ascii="宋体" w:hAnsi="宋体" w:cs="宋体"/>
          <w:b/>
          <w:color w:val="auto"/>
          <w:szCs w:val="21"/>
          <w:highlight w:val="none"/>
        </w:rPr>
        <w:t>及付款方式</w:t>
      </w:r>
    </w:p>
    <w:p w14:paraId="77DF8805">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本合同金额为（大写）：_________</w:t>
      </w:r>
      <w:r>
        <w:rPr>
          <w:rFonts w:hint="eastAsia" w:ascii="宋体" w:hAnsi="宋体" w:cs="宋体"/>
          <w:color w:val="auto"/>
          <w:szCs w:val="21"/>
          <w:highlight w:val="none"/>
        </w:rPr>
        <w:t>元</w:t>
      </w:r>
      <w:r>
        <w:rPr>
          <w:rFonts w:ascii="宋体" w:hAnsi="宋体" w:cs="宋体"/>
          <w:color w:val="auto"/>
          <w:szCs w:val="21"/>
          <w:highlight w:val="none"/>
        </w:rPr>
        <w:t>整（</w:t>
      </w:r>
      <w:r>
        <w:rPr>
          <w:rFonts w:hint="eastAsia" w:ascii="宋体" w:hAnsi="宋体" w:cs="宋体"/>
          <w:color w:val="auto"/>
          <w:szCs w:val="21"/>
          <w:highlight w:val="none"/>
        </w:rPr>
        <w:t>￥</w:t>
      </w:r>
      <w:r>
        <w:rPr>
          <w:rFonts w:ascii="宋体" w:hAnsi="宋体" w:cs="宋体"/>
          <w:color w:val="auto"/>
          <w:szCs w:val="21"/>
          <w:highlight w:val="none"/>
        </w:rPr>
        <w:t>_______元）人民币。本合同价款包含所有乙方提供合同约定产品和服务的报酬及乙方提供合同中产品和服务所支出的必要费用，甲方在上述合同价款之外不再向乙方支付其他任何费用。</w:t>
      </w:r>
    </w:p>
    <w:p w14:paraId="10F1CB7B">
      <w:pPr>
        <w:spacing w:line="440" w:lineRule="exact"/>
        <w:ind w:firstLine="420" w:firstLineChars="200"/>
        <w:rPr>
          <w:rFonts w:ascii="宋体" w:hAnsi="宋体"/>
          <w:color w:val="auto"/>
          <w:highlight w:val="none"/>
        </w:rPr>
      </w:pPr>
      <w:r>
        <w:rPr>
          <w:rFonts w:hint="eastAsia" w:ascii="宋体" w:hAnsi="宋体" w:cs="宋体"/>
          <w:color w:val="auto"/>
          <w:szCs w:val="21"/>
          <w:highlight w:val="none"/>
        </w:rPr>
        <w:t>2.</w:t>
      </w:r>
      <w:r>
        <w:rPr>
          <w:rFonts w:hint="eastAsia" w:ascii="宋体" w:hAnsi="宋体"/>
          <w:color w:val="auto"/>
          <w:highlight w:val="none"/>
        </w:rPr>
        <w:t>付款方式：合同签订后10日内采购人预付合同价的30%作为预付款，</w:t>
      </w:r>
      <w:r>
        <w:rPr>
          <w:rFonts w:hint="eastAsia" w:ascii="宋体" w:hAnsi="宋体" w:eastAsia="宋体" w:cs="宋体"/>
          <w:color w:val="auto"/>
          <w:highlight w:val="none"/>
        </w:rPr>
        <w:t>在签订合同时，</w:t>
      </w:r>
      <w:r>
        <w:rPr>
          <w:rFonts w:hint="eastAsia" w:ascii="宋体" w:hAnsi="宋体" w:eastAsia="宋体" w:cs="宋体"/>
          <w:color w:val="auto"/>
          <w:highlight w:val="none"/>
          <w:lang w:val="zh-CN"/>
        </w:rPr>
        <w:t>乙方</w:t>
      </w:r>
      <w:r>
        <w:rPr>
          <w:rFonts w:hint="eastAsia" w:ascii="宋体" w:hAnsi="宋体" w:eastAsia="宋体" w:cs="宋体"/>
          <w:color w:val="auto"/>
          <w:highlight w:val="none"/>
        </w:rPr>
        <w:t>明确表示无需预付款或者主动要求降低预付款比例的，甲方可不适用前述规定。甲方</w:t>
      </w:r>
      <w:r>
        <w:rPr>
          <w:rFonts w:hint="eastAsia" w:ascii="宋体" w:hAnsi="宋体"/>
          <w:color w:val="auto"/>
          <w:highlight w:val="none"/>
        </w:rPr>
        <w:t>对</w:t>
      </w:r>
      <w:r>
        <w:rPr>
          <w:rFonts w:hint="eastAsia" w:ascii="宋体" w:hAnsi="宋体" w:eastAsia="宋体" w:cs="宋体"/>
          <w:color w:val="auto"/>
          <w:highlight w:val="none"/>
          <w:lang w:val="zh-CN"/>
        </w:rPr>
        <w:t>乙方</w:t>
      </w:r>
      <w:r>
        <w:rPr>
          <w:rFonts w:hint="eastAsia" w:ascii="宋体" w:hAnsi="宋体"/>
          <w:color w:val="auto"/>
          <w:highlight w:val="none"/>
        </w:rPr>
        <w:t>服务管理不定期进行考核，根据考核情况支付上个月考核后的餐饮服务管理费【考核得分为90分（含）及以上的支付上月全额餐饮服务管理费，考核得分90分以下的按考核分值支付服务管理费的比例金额（例：考核得分89分的，支付上月全额餐饮服务管理费的89%）。支付服务管理费时扣除预付款部分再行结算】。说明：相关的一切税费均由</w:t>
      </w:r>
      <w:r>
        <w:rPr>
          <w:rFonts w:hint="eastAsia" w:ascii="宋体" w:hAnsi="宋体" w:eastAsia="宋体" w:cs="宋体"/>
          <w:color w:val="auto"/>
          <w:highlight w:val="none"/>
          <w:lang w:val="zh-CN"/>
        </w:rPr>
        <w:t>乙方</w:t>
      </w:r>
      <w:r>
        <w:rPr>
          <w:rFonts w:hint="eastAsia" w:ascii="宋体" w:hAnsi="宋体"/>
          <w:color w:val="auto"/>
          <w:highlight w:val="none"/>
        </w:rPr>
        <w:t>承担。</w:t>
      </w:r>
    </w:p>
    <w:p w14:paraId="08AE0AEB">
      <w:pPr>
        <w:spacing w:line="440" w:lineRule="exact"/>
        <w:ind w:firstLine="422" w:firstLineChars="200"/>
        <w:rPr>
          <w:rFonts w:ascii="宋体" w:hAnsi="宋体"/>
          <w:b/>
          <w:color w:val="auto"/>
          <w:szCs w:val="21"/>
          <w:highlight w:val="none"/>
        </w:rPr>
      </w:pPr>
      <w:r>
        <w:rPr>
          <w:rFonts w:hint="eastAsia" w:ascii="宋体" w:hAnsi="宋体"/>
          <w:b/>
          <w:color w:val="auto"/>
          <w:szCs w:val="21"/>
          <w:highlight w:val="none"/>
        </w:rPr>
        <w:t>四、承包方式</w:t>
      </w:r>
    </w:p>
    <w:p w14:paraId="0023CD09">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1.甲方为乙方免费提供厨房、餐厅及厨房一般设备，在服务期间，必须要更新厨房设备时，乙方应书面提出申请并呈报甲方，经甲方核准后，由甲方负责购买。</w:t>
      </w:r>
    </w:p>
    <w:p w14:paraId="109E6BE0">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在服务期间，食堂的水、电、燃气费用由甲方承担。食堂的设备因乙方人员操作失误造成损坏的，由乙方负责维修或赔偿，食堂内的清洁卫生及下水道在甲方监督下由乙方管理，因管理不善造成的堵塞等问题，由乙方负责解决。</w:t>
      </w:r>
    </w:p>
    <w:p w14:paraId="2343A4CE">
      <w:pPr>
        <w:spacing w:line="440" w:lineRule="exact"/>
        <w:ind w:firstLine="420" w:firstLineChars="200"/>
        <w:rPr>
          <w:color w:val="auto"/>
          <w:highlight w:val="none"/>
        </w:rPr>
      </w:pPr>
      <w:r>
        <w:rPr>
          <w:rFonts w:hint="eastAsia" w:ascii="宋体" w:hAnsi="宋体" w:cs="宋体"/>
          <w:color w:val="auto"/>
          <w:szCs w:val="21"/>
          <w:highlight w:val="none"/>
        </w:rPr>
        <w:t>3.乙方派驻食堂所有员工的工资、福利、社保、保险等均由乙方负责。食堂使用的餐具、清洁用品用具等易耗品由甲方负责。</w:t>
      </w:r>
    </w:p>
    <w:p w14:paraId="50AF1B8C">
      <w:pPr>
        <w:widowControl/>
        <w:shd w:val="clear" w:color="auto" w:fill="FFFFFF"/>
        <w:spacing w:line="440" w:lineRule="exact"/>
        <w:ind w:firstLine="422" w:firstLineChars="200"/>
        <w:jc w:val="left"/>
        <w:rPr>
          <w:color w:val="auto"/>
          <w:highlight w:val="none"/>
        </w:rPr>
      </w:pPr>
      <w:r>
        <w:rPr>
          <w:rFonts w:hint="eastAsia" w:ascii="宋体" w:hAnsi="宋体" w:cs="宋体"/>
          <w:b/>
          <w:color w:val="auto"/>
          <w:szCs w:val="21"/>
          <w:highlight w:val="none"/>
        </w:rPr>
        <w:t>五、人数及相关要求</w:t>
      </w:r>
    </w:p>
    <w:p w14:paraId="0A06D71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1.服务对象：乙方服务以职工为主，因被服务对象工作的特殊性，乙方须保质保量的服务，因特发事件须加班服务的，甲方会提前通知乙方，乙方应积极响应配合，并安排好正常为之服务的联系人（姓名：      ；电话：             ）。</w:t>
      </w:r>
    </w:p>
    <w:p w14:paraId="397EAAF3">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2.餐标及成本控制按甲方要求执行，乙方在甲方规定的成本内提供无利润加工服务。</w:t>
      </w:r>
    </w:p>
    <w:p w14:paraId="4A17ACA2">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3.菜肴应保证卫生，色香味齐全，营养搭配合理。</w:t>
      </w:r>
    </w:p>
    <w:p w14:paraId="2C6E2F32">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4.环境卫生、消毒及时，符合国家及行业相关规程规定要求。</w:t>
      </w:r>
    </w:p>
    <w:p w14:paraId="6249063F">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5.人数（暂定）</w:t>
      </w:r>
    </w:p>
    <w:p w14:paraId="64434D3C">
      <w:pPr>
        <w:widowControl/>
        <w:shd w:val="clear" w:color="auto" w:fill="FFFFFF"/>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区行政中心食堂一、二、三楼建筑面积5515.5㎡，周一至周六早餐100一150人、中餐400一550人、晚餐100一150人，值班人员(周日、法定节假日)用餐人数约100人，办公室工作餐（盒饭约40份），餐位约400个，所需食材由采购人提供。</w:t>
      </w:r>
    </w:p>
    <w:p w14:paraId="2FB8EED7">
      <w:pPr>
        <w:widowControl/>
        <w:shd w:val="clear" w:color="auto" w:fill="FFFFFF"/>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6.乙方考虑提供个性化服务的内容。甲方提出需要调整厨师（投标同等资质）的，应在3个工作日内响应。</w:t>
      </w:r>
    </w:p>
    <w:p w14:paraId="353A7A8B">
      <w:pPr>
        <w:widowControl/>
        <w:shd w:val="clear" w:color="auto" w:fill="FFFFFF"/>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7.人员配备：须明确食堂炊事班组成人员，名单如下：</w:t>
      </w:r>
    </w:p>
    <w:tbl>
      <w:tblPr>
        <w:tblStyle w:val="11"/>
        <w:tblW w:w="9580" w:type="dxa"/>
        <w:tblInd w:w="-5" w:type="dxa"/>
        <w:tblLayout w:type="fixed"/>
        <w:tblCellMar>
          <w:top w:w="0" w:type="dxa"/>
          <w:left w:w="108" w:type="dxa"/>
          <w:bottom w:w="0" w:type="dxa"/>
          <w:right w:w="108" w:type="dxa"/>
        </w:tblCellMar>
      </w:tblPr>
      <w:tblGrid>
        <w:gridCol w:w="1390"/>
        <w:gridCol w:w="1391"/>
        <w:gridCol w:w="1018"/>
        <w:gridCol w:w="992"/>
        <w:gridCol w:w="1276"/>
        <w:gridCol w:w="1276"/>
        <w:gridCol w:w="2237"/>
      </w:tblGrid>
      <w:tr w14:paraId="7E63D836">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0747540A">
            <w:pPr>
              <w:widowControl/>
              <w:shd w:val="clear" w:color="auto" w:fill="FFFFFF"/>
              <w:spacing w:line="440" w:lineRule="exact"/>
              <w:ind w:firstLine="420"/>
              <w:jc w:val="left"/>
              <w:rPr>
                <w:color w:val="auto"/>
                <w:highlight w:val="none"/>
              </w:rPr>
            </w:pPr>
            <w:r>
              <w:rPr>
                <w:rFonts w:hint="eastAsia" w:ascii="宋体" w:hAnsi="宋体" w:cs="宋体"/>
                <w:color w:val="auto"/>
                <w:szCs w:val="21"/>
                <w:highlight w:val="none"/>
              </w:rPr>
              <w:t>序号</w:t>
            </w:r>
          </w:p>
        </w:tc>
        <w:tc>
          <w:tcPr>
            <w:tcW w:w="1391" w:type="dxa"/>
            <w:tcBorders>
              <w:top w:val="single" w:color="000000" w:sz="4" w:space="0"/>
              <w:left w:val="single" w:color="000000" w:sz="4" w:space="0"/>
              <w:bottom w:val="single" w:color="000000" w:sz="4" w:space="0"/>
              <w:right w:val="single" w:color="000000" w:sz="4" w:space="0"/>
            </w:tcBorders>
          </w:tcPr>
          <w:p w14:paraId="7D99B284">
            <w:pPr>
              <w:widowControl/>
              <w:shd w:val="clear" w:color="auto" w:fill="FFFFFF"/>
              <w:spacing w:line="440" w:lineRule="exact"/>
              <w:ind w:firstLine="420"/>
              <w:jc w:val="left"/>
              <w:rPr>
                <w:color w:val="auto"/>
                <w:highlight w:val="none"/>
              </w:rPr>
            </w:pPr>
            <w:r>
              <w:rPr>
                <w:rFonts w:hint="eastAsia" w:ascii="宋体" w:hAnsi="宋体" w:cs="宋体"/>
                <w:color w:val="auto"/>
                <w:szCs w:val="21"/>
                <w:highlight w:val="none"/>
              </w:rPr>
              <w:t>姓名</w:t>
            </w:r>
          </w:p>
        </w:tc>
        <w:tc>
          <w:tcPr>
            <w:tcW w:w="1018" w:type="dxa"/>
            <w:tcBorders>
              <w:top w:val="single" w:color="000000" w:sz="4" w:space="0"/>
              <w:left w:val="single" w:color="000000" w:sz="4" w:space="0"/>
              <w:bottom w:val="single" w:color="000000" w:sz="4" w:space="0"/>
              <w:right w:val="single" w:color="000000" w:sz="4" w:space="0"/>
            </w:tcBorders>
          </w:tcPr>
          <w:p w14:paraId="619C8496">
            <w:pPr>
              <w:widowControl/>
              <w:shd w:val="clear" w:color="auto" w:fill="FFFFFF"/>
              <w:spacing w:line="440" w:lineRule="exact"/>
              <w:rPr>
                <w:color w:val="auto"/>
                <w:highlight w:val="none"/>
              </w:rPr>
            </w:pPr>
            <w:r>
              <w:rPr>
                <w:rFonts w:hint="eastAsia" w:ascii="宋体" w:hAnsi="宋体" w:cs="宋体"/>
                <w:color w:val="auto"/>
                <w:szCs w:val="21"/>
                <w:highlight w:val="none"/>
              </w:rPr>
              <w:t>岗位</w:t>
            </w:r>
          </w:p>
        </w:tc>
        <w:tc>
          <w:tcPr>
            <w:tcW w:w="992" w:type="dxa"/>
            <w:tcBorders>
              <w:top w:val="single" w:color="000000" w:sz="4" w:space="0"/>
              <w:left w:val="single" w:color="000000" w:sz="4" w:space="0"/>
              <w:bottom w:val="single" w:color="000000" w:sz="4" w:space="0"/>
              <w:right w:val="single" w:color="000000" w:sz="4" w:space="0"/>
            </w:tcBorders>
          </w:tcPr>
          <w:p w14:paraId="68D433C9">
            <w:pPr>
              <w:widowControl/>
              <w:shd w:val="clear" w:color="auto" w:fill="FFFFFF"/>
              <w:spacing w:line="440" w:lineRule="exact"/>
              <w:jc w:val="left"/>
              <w:rPr>
                <w:color w:val="auto"/>
                <w:highlight w:val="none"/>
              </w:rPr>
            </w:pPr>
            <w:r>
              <w:rPr>
                <w:rFonts w:hint="eastAsia" w:ascii="宋体" w:hAnsi="宋体" w:cs="宋体"/>
                <w:color w:val="auto"/>
                <w:szCs w:val="21"/>
                <w:highlight w:val="none"/>
              </w:rPr>
              <w:t>性别</w:t>
            </w:r>
          </w:p>
        </w:tc>
        <w:tc>
          <w:tcPr>
            <w:tcW w:w="1276" w:type="dxa"/>
            <w:tcBorders>
              <w:top w:val="single" w:color="000000" w:sz="4" w:space="0"/>
              <w:left w:val="single" w:color="000000" w:sz="4" w:space="0"/>
              <w:bottom w:val="single" w:color="000000" w:sz="4" w:space="0"/>
              <w:right w:val="single" w:color="000000" w:sz="4" w:space="0"/>
            </w:tcBorders>
          </w:tcPr>
          <w:p w14:paraId="135BC417">
            <w:pPr>
              <w:widowControl/>
              <w:shd w:val="clear" w:color="auto" w:fill="FFFFFF"/>
              <w:spacing w:line="440" w:lineRule="exact"/>
              <w:jc w:val="left"/>
              <w:rPr>
                <w:color w:val="auto"/>
                <w:highlight w:val="none"/>
              </w:rPr>
            </w:pPr>
            <w:r>
              <w:rPr>
                <w:rFonts w:hint="eastAsia" w:ascii="宋体" w:hAnsi="宋体" w:cs="宋体"/>
                <w:color w:val="auto"/>
                <w:szCs w:val="21"/>
                <w:highlight w:val="none"/>
              </w:rPr>
              <w:t>年龄</w:t>
            </w:r>
          </w:p>
        </w:tc>
        <w:tc>
          <w:tcPr>
            <w:tcW w:w="1276" w:type="dxa"/>
            <w:tcBorders>
              <w:top w:val="single" w:color="000000" w:sz="4" w:space="0"/>
              <w:left w:val="single" w:color="000000" w:sz="4" w:space="0"/>
              <w:bottom w:val="single" w:color="000000" w:sz="4" w:space="0"/>
              <w:right w:val="single" w:color="000000" w:sz="4" w:space="0"/>
            </w:tcBorders>
          </w:tcPr>
          <w:p w14:paraId="4B9C1C4A">
            <w:pPr>
              <w:widowControl/>
              <w:shd w:val="clear" w:color="auto" w:fill="FFFFFF"/>
              <w:spacing w:line="440" w:lineRule="exact"/>
              <w:rPr>
                <w:color w:val="auto"/>
                <w:highlight w:val="none"/>
              </w:rPr>
            </w:pPr>
            <w:r>
              <w:rPr>
                <w:rFonts w:hint="eastAsia" w:ascii="宋体" w:hAnsi="宋体" w:cs="宋体"/>
                <w:color w:val="auto"/>
                <w:szCs w:val="21"/>
                <w:highlight w:val="none"/>
              </w:rPr>
              <w:t>电话</w:t>
            </w:r>
          </w:p>
        </w:tc>
        <w:tc>
          <w:tcPr>
            <w:tcW w:w="2237" w:type="dxa"/>
            <w:tcBorders>
              <w:top w:val="single" w:color="000000" w:sz="4" w:space="0"/>
              <w:left w:val="single" w:color="000000" w:sz="4" w:space="0"/>
              <w:bottom w:val="single" w:color="000000" w:sz="4" w:space="0"/>
              <w:right w:val="single" w:color="000000" w:sz="4" w:space="0"/>
            </w:tcBorders>
          </w:tcPr>
          <w:p w14:paraId="14E737C6">
            <w:pPr>
              <w:widowControl/>
              <w:shd w:val="clear" w:color="auto" w:fill="FFFFFF"/>
              <w:spacing w:line="440" w:lineRule="exact"/>
              <w:rPr>
                <w:color w:val="auto"/>
                <w:highlight w:val="none"/>
              </w:rPr>
            </w:pPr>
            <w:r>
              <w:rPr>
                <w:rFonts w:hint="eastAsia" w:ascii="宋体" w:hAnsi="宋体" w:cs="宋体"/>
                <w:color w:val="auto"/>
                <w:szCs w:val="21"/>
                <w:highlight w:val="none"/>
              </w:rPr>
              <w:t>国家职业资格证书</w:t>
            </w:r>
          </w:p>
        </w:tc>
      </w:tr>
      <w:tr w14:paraId="548FB0FE">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0C24E492">
            <w:pPr>
              <w:widowControl/>
              <w:shd w:val="clear" w:color="auto" w:fill="FFFFFF"/>
              <w:spacing w:line="440" w:lineRule="exact"/>
              <w:ind w:firstLine="420" w:firstLineChars="200"/>
              <w:jc w:val="left"/>
              <w:rPr>
                <w:rFonts w:ascii="宋体" w:hAnsi="宋体" w:cs="宋体"/>
                <w:color w:val="auto"/>
                <w:szCs w:val="21"/>
                <w:highlight w:val="none"/>
              </w:rPr>
            </w:pPr>
          </w:p>
        </w:tc>
        <w:tc>
          <w:tcPr>
            <w:tcW w:w="1391" w:type="dxa"/>
            <w:tcBorders>
              <w:top w:val="single" w:color="000000" w:sz="4" w:space="0"/>
              <w:left w:val="single" w:color="000000" w:sz="4" w:space="0"/>
              <w:bottom w:val="single" w:color="000000" w:sz="4" w:space="0"/>
              <w:right w:val="single" w:color="000000" w:sz="4" w:space="0"/>
            </w:tcBorders>
          </w:tcPr>
          <w:p w14:paraId="0563B450">
            <w:pPr>
              <w:widowControl/>
              <w:shd w:val="clear" w:color="auto" w:fill="FFFFFF"/>
              <w:spacing w:line="440" w:lineRule="exact"/>
              <w:ind w:firstLine="420" w:firstLineChars="200"/>
              <w:jc w:val="left"/>
              <w:rPr>
                <w:rFonts w:ascii="宋体" w:hAnsi="宋体" w:cs="宋体"/>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tcPr>
          <w:p w14:paraId="51FEABC4">
            <w:pPr>
              <w:widowControl/>
              <w:shd w:val="clear" w:color="auto" w:fill="FFFFFF"/>
              <w:spacing w:line="440" w:lineRule="exact"/>
              <w:ind w:firstLine="420" w:firstLineChars="200"/>
              <w:jc w:val="left"/>
              <w:rPr>
                <w:rFonts w:ascii="宋体" w:hAnsi="宋体" w:cs="宋体"/>
                <w:color w:val="auto"/>
                <w:szCs w:val="21"/>
                <w:highlight w:val="none"/>
              </w:rPr>
            </w:pPr>
          </w:p>
        </w:tc>
        <w:tc>
          <w:tcPr>
            <w:tcW w:w="992" w:type="dxa"/>
            <w:tcBorders>
              <w:top w:val="single" w:color="000000" w:sz="4" w:space="0"/>
              <w:left w:val="single" w:color="000000" w:sz="4" w:space="0"/>
              <w:bottom w:val="single" w:color="000000" w:sz="4" w:space="0"/>
              <w:right w:val="single" w:color="000000" w:sz="4" w:space="0"/>
            </w:tcBorders>
          </w:tcPr>
          <w:p w14:paraId="6E3E3ECF">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6A799594">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49BB878F">
            <w:pPr>
              <w:widowControl/>
              <w:shd w:val="clear" w:color="auto" w:fill="FFFFFF"/>
              <w:spacing w:line="440" w:lineRule="exact"/>
              <w:ind w:firstLine="420" w:firstLineChars="200"/>
              <w:jc w:val="left"/>
              <w:rPr>
                <w:rFonts w:ascii="宋体" w:hAnsi="宋体" w:cs="宋体"/>
                <w:color w:val="auto"/>
                <w:szCs w:val="21"/>
                <w:highlight w:val="none"/>
              </w:rPr>
            </w:pPr>
          </w:p>
        </w:tc>
        <w:tc>
          <w:tcPr>
            <w:tcW w:w="2237" w:type="dxa"/>
            <w:tcBorders>
              <w:top w:val="single" w:color="000000" w:sz="4" w:space="0"/>
              <w:left w:val="single" w:color="000000" w:sz="4" w:space="0"/>
              <w:bottom w:val="single" w:color="000000" w:sz="4" w:space="0"/>
              <w:right w:val="single" w:color="000000" w:sz="4" w:space="0"/>
            </w:tcBorders>
          </w:tcPr>
          <w:p w14:paraId="3F02E9A2">
            <w:pPr>
              <w:widowControl/>
              <w:shd w:val="clear" w:color="auto" w:fill="FFFFFF"/>
              <w:spacing w:line="440" w:lineRule="exact"/>
              <w:ind w:firstLine="420" w:firstLineChars="200"/>
              <w:jc w:val="left"/>
              <w:rPr>
                <w:rFonts w:ascii="宋体" w:hAnsi="宋体" w:cs="宋体"/>
                <w:color w:val="auto"/>
                <w:szCs w:val="21"/>
                <w:highlight w:val="none"/>
              </w:rPr>
            </w:pPr>
          </w:p>
        </w:tc>
      </w:tr>
      <w:tr w14:paraId="412DA79A">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0E6D28A5">
            <w:pPr>
              <w:widowControl/>
              <w:shd w:val="clear" w:color="auto" w:fill="FFFFFF"/>
              <w:spacing w:line="440" w:lineRule="exact"/>
              <w:ind w:firstLine="420" w:firstLineChars="200"/>
              <w:jc w:val="left"/>
              <w:rPr>
                <w:rFonts w:ascii="宋体" w:hAnsi="宋体" w:cs="宋体"/>
                <w:color w:val="auto"/>
                <w:szCs w:val="21"/>
                <w:highlight w:val="none"/>
              </w:rPr>
            </w:pPr>
          </w:p>
        </w:tc>
        <w:tc>
          <w:tcPr>
            <w:tcW w:w="1391" w:type="dxa"/>
            <w:tcBorders>
              <w:top w:val="single" w:color="000000" w:sz="4" w:space="0"/>
              <w:left w:val="single" w:color="000000" w:sz="4" w:space="0"/>
              <w:bottom w:val="single" w:color="000000" w:sz="4" w:space="0"/>
              <w:right w:val="single" w:color="000000" w:sz="4" w:space="0"/>
            </w:tcBorders>
          </w:tcPr>
          <w:p w14:paraId="08CCF2CC">
            <w:pPr>
              <w:widowControl/>
              <w:shd w:val="clear" w:color="auto" w:fill="FFFFFF"/>
              <w:spacing w:line="440" w:lineRule="exact"/>
              <w:ind w:firstLine="420" w:firstLineChars="200"/>
              <w:jc w:val="left"/>
              <w:rPr>
                <w:rFonts w:ascii="宋体" w:hAnsi="宋体" w:cs="宋体"/>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tcPr>
          <w:p w14:paraId="5708993D">
            <w:pPr>
              <w:widowControl/>
              <w:shd w:val="clear" w:color="auto" w:fill="FFFFFF"/>
              <w:spacing w:line="440" w:lineRule="exact"/>
              <w:ind w:firstLine="420" w:firstLineChars="200"/>
              <w:jc w:val="left"/>
              <w:rPr>
                <w:rFonts w:ascii="宋体" w:hAnsi="宋体" w:cs="宋体"/>
                <w:color w:val="auto"/>
                <w:szCs w:val="21"/>
                <w:highlight w:val="none"/>
              </w:rPr>
            </w:pPr>
          </w:p>
        </w:tc>
        <w:tc>
          <w:tcPr>
            <w:tcW w:w="992" w:type="dxa"/>
            <w:tcBorders>
              <w:top w:val="single" w:color="000000" w:sz="4" w:space="0"/>
              <w:left w:val="single" w:color="000000" w:sz="4" w:space="0"/>
              <w:bottom w:val="single" w:color="000000" w:sz="4" w:space="0"/>
              <w:right w:val="single" w:color="000000" w:sz="4" w:space="0"/>
            </w:tcBorders>
          </w:tcPr>
          <w:p w14:paraId="17084202">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5C764122">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31FA114C">
            <w:pPr>
              <w:widowControl/>
              <w:shd w:val="clear" w:color="auto" w:fill="FFFFFF"/>
              <w:spacing w:line="440" w:lineRule="exact"/>
              <w:ind w:firstLine="420" w:firstLineChars="200"/>
              <w:jc w:val="left"/>
              <w:rPr>
                <w:rFonts w:ascii="宋体" w:hAnsi="宋体" w:cs="宋体"/>
                <w:color w:val="auto"/>
                <w:szCs w:val="21"/>
                <w:highlight w:val="none"/>
              </w:rPr>
            </w:pPr>
          </w:p>
        </w:tc>
        <w:tc>
          <w:tcPr>
            <w:tcW w:w="2237" w:type="dxa"/>
            <w:tcBorders>
              <w:top w:val="single" w:color="000000" w:sz="4" w:space="0"/>
              <w:left w:val="single" w:color="000000" w:sz="4" w:space="0"/>
              <w:bottom w:val="single" w:color="000000" w:sz="4" w:space="0"/>
              <w:right w:val="single" w:color="000000" w:sz="4" w:space="0"/>
            </w:tcBorders>
          </w:tcPr>
          <w:p w14:paraId="1FECC7C6">
            <w:pPr>
              <w:widowControl/>
              <w:shd w:val="clear" w:color="auto" w:fill="FFFFFF"/>
              <w:spacing w:line="440" w:lineRule="exact"/>
              <w:ind w:firstLine="420" w:firstLineChars="200"/>
              <w:jc w:val="left"/>
              <w:rPr>
                <w:rFonts w:ascii="宋体" w:hAnsi="宋体" w:cs="宋体"/>
                <w:color w:val="auto"/>
                <w:szCs w:val="21"/>
                <w:highlight w:val="none"/>
              </w:rPr>
            </w:pPr>
          </w:p>
        </w:tc>
      </w:tr>
      <w:tr w14:paraId="6EC004AD">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0D9F85A1">
            <w:pPr>
              <w:widowControl/>
              <w:shd w:val="clear" w:color="auto" w:fill="FFFFFF"/>
              <w:spacing w:line="440" w:lineRule="exact"/>
              <w:ind w:firstLine="420" w:firstLineChars="200"/>
              <w:jc w:val="left"/>
              <w:rPr>
                <w:rFonts w:ascii="宋体" w:hAnsi="宋体" w:cs="宋体"/>
                <w:color w:val="auto"/>
                <w:szCs w:val="21"/>
                <w:highlight w:val="none"/>
              </w:rPr>
            </w:pPr>
          </w:p>
        </w:tc>
        <w:tc>
          <w:tcPr>
            <w:tcW w:w="1391" w:type="dxa"/>
            <w:tcBorders>
              <w:top w:val="single" w:color="000000" w:sz="4" w:space="0"/>
              <w:left w:val="single" w:color="000000" w:sz="4" w:space="0"/>
              <w:bottom w:val="single" w:color="000000" w:sz="4" w:space="0"/>
              <w:right w:val="single" w:color="000000" w:sz="4" w:space="0"/>
            </w:tcBorders>
          </w:tcPr>
          <w:p w14:paraId="4AA3F8F9">
            <w:pPr>
              <w:widowControl/>
              <w:shd w:val="clear" w:color="auto" w:fill="FFFFFF"/>
              <w:spacing w:line="440" w:lineRule="exact"/>
              <w:ind w:firstLine="420" w:firstLineChars="200"/>
              <w:jc w:val="left"/>
              <w:rPr>
                <w:rFonts w:ascii="宋体" w:hAnsi="宋体" w:cs="宋体"/>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tcPr>
          <w:p w14:paraId="2B68F8A8">
            <w:pPr>
              <w:widowControl/>
              <w:shd w:val="clear" w:color="auto" w:fill="FFFFFF"/>
              <w:spacing w:line="440" w:lineRule="exact"/>
              <w:ind w:firstLine="420" w:firstLineChars="200"/>
              <w:jc w:val="left"/>
              <w:rPr>
                <w:rFonts w:ascii="宋体" w:hAnsi="宋体" w:cs="宋体"/>
                <w:color w:val="auto"/>
                <w:szCs w:val="21"/>
                <w:highlight w:val="none"/>
              </w:rPr>
            </w:pPr>
          </w:p>
        </w:tc>
        <w:tc>
          <w:tcPr>
            <w:tcW w:w="992" w:type="dxa"/>
            <w:tcBorders>
              <w:top w:val="single" w:color="000000" w:sz="4" w:space="0"/>
              <w:left w:val="single" w:color="000000" w:sz="4" w:space="0"/>
              <w:bottom w:val="single" w:color="000000" w:sz="4" w:space="0"/>
              <w:right w:val="single" w:color="000000" w:sz="4" w:space="0"/>
            </w:tcBorders>
          </w:tcPr>
          <w:p w14:paraId="395CEA2E">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14FB421F">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0DC748AB">
            <w:pPr>
              <w:widowControl/>
              <w:shd w:val="clear" w:color="auto" w:fill="FFFFFF"/>
              <w:spacing w:line="440" w:lineRule="exact"/>
              <w:ind w:firstLine="420" w:firstLineChars="200"/>
              <w:jc w:val="left"/>
              <w:rPr>
                <w:rFonts w:ascii="宋体" w:hAnsi="宋体" w:cs="宋体"/>
                <w:color w:val="auto"/>
                <w:szCs w:val="21"/>
                <w:highlight w:val="none"/>
              </w:rPr>
            </w:pPr>
          </w:p>
        </w:tc>
        <w:tc>
          <w:tcPr>
            <w:tcW w:w="2237" w:type="dxa"/>
            <w:tcBorders>
              <w:top w:val="single" w:color="000000" w:sz="4" w:space="0"/>
              <w:left w:val="single" w:color="000000" w:sz="4" w:space="0"/>
              <w:bottom w:val="single" w:color="000000" w:sz="4" w:space="0"/>
              <w:right w:val="single" w:color="000000" w:sz="4" w:space="0"/>
            </w:tcBorders>
          </w:tcPr>
          <w:p w14:paraId="5DD53C51">
            <w:pPr>
              <w:widowControl/>
              <w:shd w:val="clear" w:color="auto" w:fill="FFFFFF"/>
              <w:spacing w:line="440" w:lineRule="exact"/>
              <w:ind w:firstLine="420" w:firstLineChars="200"/>
              <w:jc w:val="left"/>
              <w:rPr>
                <w:rFonts w:ascii="宋体" w:hAnsi="宋体" w:cs="宋体"/>
                <w:color w:val="auto"/>
                <w:szCs w:val="21"/>
                <w:highlight w:val="none"/>
              </w:rPr>
            </w:pPr>
          </w:p>
        </w:tc>
      </w:tr>
      <w:tr w14:paraId="631FB8F6">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74A04695">
            <w:pPr>
              <w:widowControl/>
              <w:shd w:val="clear" w:color="auto" w:fill="FFFFFF"/>
              <w:spacing w:line="440" w:lineRule="exact"/>
              <w:ind w:firstLine="420" w:firstLineChars="200"/>
              <w:jc w:val="left"/>
              <w:rPr>
                <w:rFonts w:ascii="宋体" w:hAnsi="宋体" w:cs="宋体"/>
                <w:color w:val="auto"/>
                <w:szCs w:val="21"/>
                <w:highlight w:val="none"/>
              </w:rPr>
            </w:pPr>
          </w:p>
        </w:tc>
        <w:tc>
          <w:tcPr>
            <w:tcW w:w="1391" w:type="dxa"/>
            <w:tcBorders>
              <w:top w:val="single" w:color="000000" w:sz="4" w:space="0"/>
              <w:left w:val="single" w:color="000000" w:sz="4" w:space="0"/>
              <w:bottom w:val="single" w:color="000000" w:sz="4" w:space="0"/>
              <w:right w:val="single" w:color="000000" w:sz="4" w:space="0"/>
            </w:tcBorders>
          </w:tcPr>
          <w:p w14:paraId="0426C7C7">
            <w:pPr>
              <w:widowControl/>
              <w:shd w:val="clear" w:color="auto" w:fill="FFFFFF"/>
              <w:spacing w:line="440" w:lineRule="exact"/>
              <w:ind w:firstLine="420" w:firstLineChars="200"/>
              <w:jc w:val="left"/>
              <w:rPr>
                <w:rFonts w:ascii="宋体" w:hAnsi="宋体" w:cs="宋体"/>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tcPr>
          <w:p w14:paraId="41B7EDEF">
            <w:pPr>
              <w:widowControl/>
              <w:shd w:val="clear" w:color="auto" w:fill="FFFFFF"/>
              <w:spacing w:line="440" w:lineRule="exact"/>
              <w:ind w:firstLine="420" w:firstLineChars="200"/>
              <w:jc w:val="left"/>
              <w:rPr>
                <w:rFonts w:ascii="宋体" w:hAnsi="宋体" w:cs="宋体"/>
                <w:color w:val="auto"/>
                <w:szCs w:val="21"/>
                <w:highlight w:val="none"/>
              </w:rPr>
            </w:pPr>
          </w:p>
        </w:tc>
        <w:tc>
          <w:tcPr>
            <w:tcW w:w="992" w:type="dxa"/>
            <w:tcBorders>
              <w:top w:val="single" w:color="000000" w:sz="4" w:space="0"/>
              <w:left w:val="single" w:color="000000" w:sz="4" w:space="0"/>
              <w:bottom w:val="single" w:color="000000" w:sz="4" w:space="0"/>
              <w:right w:val="single" w:color="000000" w:sz="4" w:space="0"/>
            </w:tcBorders>
          </w:tcPr>
          <w:p w14:paraId="41BDF038">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47CA1B16">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05119E18">
            <w:pPr>
              <w:widowControl/>
              <w:shd w:val="clear" w:color="auto" w:fill="FFFFFF"/>
              <w:spacing w:line="440" w:lineRule="exact"/>
              <w:ind w:firstLine="420" w:firstLineChars="200"/>
              <w:jc w:val="left"/>
              <w:rPr>
                <w:rFonts w:ascii="宋体" w:hAnsi="宋体" w:cs="宋体"/>
                <w:color w:val="auto"/>
                <w:szCs w:val="21"/>
                <w:highlight w:val="none"/>
              </w:rPr>
            </w:pPr>
          </w:p>
        </w:tc>
        <w:tc>
          <w:tcPr>
            <w:tcW w:w="2237" w:type="dxa"/>
            <w:tcBorders>
              <w:top w:val="single" w:color="000000" w:sz="4" w:space="0"/>
              <w:left w:val="single" w:color="000000" w:sz="4" w:space="0"/>
              <w:bottom w:val="single" w:color="000000" w:sz="4" w:space="0"/>
              <w:right w:val="single" w:color="000000" w:sz="4" w:space="0"/>
            </w:tcBorders>
          </w:tcPr>
          <w:p w14:paraId="61AFFC1F">
            <w:pPr>
              <w:widowControl/>
              <w:shd w:val="clear" w:color="auto" w:fill="FFFFFF"/>
              <w:spacing w:line="440" w:lineRule="exact"/>
              <w:ind w:firstLine="420" w:firstLineChars="200"/>
              <w:jc w:val="left"/>
              <w:rPr>
                <w:rFonts w:ascii="宋体" w:hAnsi="宋体" w:cs="宋体"/>
                <w:color w:val="auto"/>
                <w:szCs w:val="21"/>
                <w:highlight w:val="none"/>
              </w:rPr>
            </w:pPr>
          </w:p>
        </w:tc>
      </w:tr>
      <w:tr w14:paraId="116F082F">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58330D71">
            <w:pPr>
              <w:widowControl/>
              <w:shd w:val="clear" w:color="auto" w:fill="FFFFFF"/>
              <w:spacing w:line="440" w:lineRule="exact"/>
              <w:ind w:firstLine="420" w:firstLineChars="200"/>
              <w:jc w:val="left"/>
              <w:rPr>
                <w:rFonts w:ascii="宋体" w:hAnsi="宋体" w:cs="宋体"/>
                <w:color w:val="auto"/>
                <w:szCs w:val="21"/>
                <w:highlight w:val="none"/>
              </w:rPr>
            </w:pPr>
          </w:p>
        </w:tc>
        <w:tc>
          <w:tcPr>
            <w:tcW w:w="1391" w:type="dxa"/>
            <w:tcBorders>
              <w:top w:val="single" w:color="000000" w:sz="4" w:space="0"/>
              <w:left w:val="single" w:color="000000" w:sz="4" w:space="0"/>
              <w:bottom w:val="single" w:color="000000" w:sz="4" w:space="0"/>
              <w:right w:val="single" w:color="000000" w:sz="4" w:space="0"/>
            </w:tcBorders>
          </w:tcPr>
          <w:p w14:paraId="2596A8B2">
            <w:pPr>
              <w:widowControl/>
              <w:shd w:val="clear" w:color="auto" w:fill="FFFFFF"/>
              <w:spacing w:line="440" w:lineRule="exact"/>
              <w:ind w:firstLine="420" w:firstLineChars="200"/>
              <w:jc w:val="left"/>
              <w:rPr>
                <w:rFonts w:ascii="宋体" w:hAnsi="宋体" w:cs="宋体"/>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tcPr>
          <w:p w14:paraId="39469440">
            <w:pPr>
              <w:widowControl/>
              <w:shd w:val="clear" w:color="auto" w:fill="FFFFFF"/>
              <w:spacing w:line="440" w:lineRule="exact"/>
              <w:ind w:firstLine="420" w:firstLineChars="200"/>
              <w:jc w:val="left"/>
              <w:rPr>
                <w:rFonts w:ascii="宋体" w:hAnsi="宋体" w:cs="宋体"/>
                <w:color w:val="auto"/>
                <w:szCs w:val="21"/>
                <w:highlight w:val="none"/>
              </w:rPr>
            </w:pPr>
          </w:p>
        </w:tc>
        <w:tc>
          <w:tcPr>
            <w:tcW w:w="992" w:type="dxa"/>
            <w:tcBorders>
              <w:top w:val="single" w:color="000000" w:sz="4" w:space="0"/>
              <w:left w:val="single" w:color="000000" w:sz="4" w:space="0"/>
              <w:bottom w:val="single" w:color="000000" w:sz="4" w:space="0"/>
              <w:right w:val="single" w:color="000000" w:sz="4" w:space="0"/>
            </w:tcBorders>
          </w:tcPr>
          <w:p w14:paraId="7B915E98">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1BADF505">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4FA4D249">
            <w:pPr>
              <w:widowControl/>
              <w:shd w:val="clear" w:color="auto" w:fill="FFFFFF"/>
              <w:spacing w:line="440" w:lineRule="exact"/>
              <w:ind w:firstLine="420" w:firstLineChars="200"/>
              <w:jc w:val="left"/>
              <w:rPr>
                <w:rFonts w:ascii="宋体" w:hAnsi="宋体" w:cs="宋体"/>
                <w:color w:val="auto"/>
                <w:szCs w:val="21"/>
                <w:highlight w:val="none"/>
              </w:rPr>
            </w:pPr>
          </w:p>
        </w:tc>
        <w:tc>
          <w:tcPr>
            <w:tcW w:w="2237" w:type="dxa"/>
            <w:tcBorders>
              <w:top w:val="single" w:color="000000" w:sz="4" w:space="0"/>
              <w:left w:val="single" w:color="000000" w:sz="4" w:space="0"/>
              <w:bottom w:val="single" w:color="000000" w:sz="4" w:space="0"/>
              <w:right w:val="single" w:color="000000" w:sz="4" w:space="0"/>
            </w:tcBorders>
          </w:tcPr>
          <w:p w14:paraId="79CD3BA6">
            <w:pPr>
              <w:widowControl/>
              <w:shd w:val="clear" w:color="auto" w:fill="FFFFFF"/>
              <w:spacing w:line="440" w:lineRule="exact"/>
              <w:ind w:firstLine="420" w:firstLineChars="200"/>
              <w:jc w:val="left"/>
              <w:rPr>
                <w:rFonts w:ascii="宋体" w:hAnsi="宋体" w:cs="宋体"/>
                <w:color w:val="auto"/>
                <w:szCs w:val="21"/>
                <w:highlight w:val="none"/>
              </w:rPr>
            </w:pPr>
          </w:p>
        </w:tc>
      </w:tr>
      <w:tr w14:paraId="25FB53AC">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63041763">
            <w:pPr>
              <w:widowControl/>
              <w:shd w:val="clear" w:color="auto" w:fill="FFFFFF"/>
              <w:spacing w:line="440" w:lineRule="exact"/>
              <w:ind w:firstLine="420" w:firstLineChars="200"/>
              <w:jc w:val="left"/>
              <w:rPr>
                <w:rFonts w:ascii="宋体" w:hAnsi="宋体" w:cs="宋体"/>
                <w:color w:val="auto"/>
                <w:szCs w:val="21"/>
                <w:highlight w:val="none"/>
              </w:rPr>
            </w:pPr>
          </w:p>
        </w:tc>
        <w:tc>
          <w:tcPr>
            <w:tcW w:w="1391" w:type="dxa"/>
            <w:tcBorders>
              <w:top w:val="single" w:color="000000" w:sz="4" w:space="0"/>
              <w:left w:val="single" w:color="000000" w:sz="4" w:space="0"/>
              <w:bottom w:val="single" w:color="000000" w:sz="4" w:space="0"/>
              <w:right w:val="single" w:color="000000" w:sz="4" w:space="0"/>
            </w:tcBorders>
          </w:tcPr>
          <w:p w14:paraId="520279E3">
            <w:pPr>
              <w:widowControl/>
              <w:shd w:val="clear" w:color="auto" w:fill="FFFFFF"/>
              <w:spacing w:line="440" w:lineRule="exact"/>
              <w:ind w:firstLine="420" w:firstLineChars="200"/>
              <w:jc w:val="left"/>
              <w:rPr>
                <w:rFonts w:ascii="宋体" w:hAnsi="宋体" w:cs="宋体"/>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tcPr>
          <w:p w14:paraId="551BC777">
            <w:pPr>
              <w:widowControl/>
              <w:shd w:val="clear" w:color="auto" w:fill="FFFFFF"/>
              <w:spacing w:line="440" w:lineRule="exact"/>
              <w:ind w:firstLine="420" w:firstLineChars="200"/>
              <w:jc w:val="left"/>
              <w:rPr>
                <w:rFonts w:ascii="宋体" w:hAnsi="宋体" w:cs="宋体"/>
                <w:color w:val="auto"/>
                <w:szCs w:val="21"/>
                <w:highlight w:val="none"/>
              </w:rPr>
            </w:pPr>
          </w:p>
        </w:tc>
        <w:tc>
          <w:tcPr>
            <w:tcW w:w="992" w:type="dxa"/>
            <w:tcBorders>
              <w:top w:val="single" w:color="000000" w:sz="4" w:space="0"/>
              <w:left w:val="single" w:color="000000" w:sz="4" w:space="0"/>
              <w:bottom w:val="single" w:color="000000" w:sz="4" w:space="0"/>
              <w:right w:val="single" w:color="000000" w:sz="4" w:space="0"/>
            </w:tcBorders>
          </w:tcPr>
          <w:p w14:paraId="39E745CA">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0D577970">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402A0A90">
            <w:pPr>
              <w:widowControl/>
              <w:shd w:val="clear" w:color="auto" w:fill="FFFFFF"/>
              <w:spacing w:line="440" w:lineRule="exact"/>
              <w:ind w:firstLine="420" w:firstLineChars="200"/>
              <w:jc w:val="left"/>
              <w:rPr>
                <w:rFonts w:ascii="宋体" w:hAnsi="宋体" w:cs="宋体"/>
                <w:color w:val="auto"/>
                <w:szCs w:val="21"/>
                <w:highlight w:val="none"/>
              </w:rPr>
            </w:pPr>
          </w:p>
        </w:tc>
        <w:tc>
          <w:tcPr>
            <w:tcW w:w="2237" w:type="dxa"/>
            <w:tcBorders>
              <w:top w:val="single" w:color="000000" w:sz="4" w:space="0"/>
              <w:left w:val="single" w:color="000000" w:sz="4" w:space="0"/>
              <w:bottom w:val="single" w:color="000000" w:sz="4" w:space="0"/>
              <w:right w:val="single" w:color="000000" w:sz="4" w:space="0"/>
            </w:tcBorders>
          </w:tcPr>
          <w:p w14:paraId="4A2567A8">
            <w:pPr>
              <w:widowControl/>
              <w:shd w:val="clear" w:color="auto" w:fill="FFFFFF"/>
              <w:spacing w:line="440" w:lineRule="exact"/>
              <w:ind w:firstLine="420" w:firstLineChars="200"/>
              <w:jc w:val="left"/>
              <w:rPr>
                <w:rFonts w:ascii="宋体" w:hAnsi="宋体" w:cs="宋体"/>
                <w:color w:val="auto"/>
                <w:szCs w:val="21"/>
                <w:highlight w:val="none"/>
              </w:rPr>
            </w:pPr>
          </w:p>
        </w:tc>
      </w:tr>
      <w:tr w14:paraId="5D37F637">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082205D6">
            <w:pPr>
              <w:widowControl/>
              <w:shd w:val="clear" w:color="auto" w:fill="FFFFFF"/>
              <w:spacing w:line="440" w:lineRule="exact"/>
              <w:ind w:firstLine="420" w:firstLineChars="200"/>
              <w:jc w:val="left"/>
              <w:rPr>
                <w:rFonts w:ascii="宋体" w:hAnsi="宋体" w:cs="宋体"/>
                <w:color w:val="auto"/>
                <w:szCs w:val="21"/>
                <w:highlight w:val="none"/>
              </w:rPr>
            </w:pPr>
          </w:p>
        </w:tc>
        <w:tc>
          <w:tcPr>
            <w:tcW w:w="1391" w:type="dxa"/>
            <w:tcBorders>
              <w:top w:val="single" w:color="000000" w:sz="4" w:space="0"/>
              <w:left w:val="single" w:color="000000" w:sz="4" w:space="0"/>
              <w:bottom w:val="single" w:color="000000" w:sz="4" w:space="0"/>
              <w:right w:val="single" w:color="000000" w:sz="4" w:space="0"/>
            </w:tcBorders>
          </w:tcPr>
          <w:p w14:paraId="38E2CB65">
            <w:pPr>
              <w:widowControl/>
              <w:shd w:val="clear" w:color="auto" w:fill="FFFFFF"/>
              <w:spacing w:line="440" w:lineRule="exact"/>
              <w:ind w:firstLine="420" w:firstLineChars="200"/>
              <w:jc w:val="left"/>
              <w:rPr>
                <w:rFonts w:ascii="宋体" w:hAnsi="宋体" w:cs="宋体"/>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tcPr>
          <w:p w14:paraId="323C7F56">
            <w:pPr>
              <w:widowControl/>
              <w:shd w:val="clear" w:color="auto" w:fill="FFFFFF"/>
              <w:spacing w:line="440" w:lineRule="exact"/>
              <w:ind w:firstLine="420" w:firstLineChars="200"/>
              <w:jc w:val="left"/>
              <w:rPr>
                <w:rFonts w:ascii="宋体" w:hAnsi="宋体" w:cs="宋体"/>
                <w:color w:val="auto"/>
                <w:szCs w:val="21"/>
                <w:highlight w:val="none"/>
              </w:rPr>
            </w:pPr>
          </w:p>
        </w:tc>
        <w:tc>
          <w:tcPr>
            <w:tcW w:w="992" w:type="dxa"/>
            <w:tcBorders>
              <w:top w:val="single" w:color="000000" w:sz="4" w:space="0"/>
              <w:left w:val="single" w:color="000000" w:sz="4" w:space="0"/>
              <w:bottom w:val="single" w:color="000000" w:sz="4" w:space="0"/>
              <w:right w:val="single" w:color="000000" w:sz="4" w:space="0"/>
            </w:tcBorders>
          </w:tcPr>
          <w:p w14:paraId="6E239E98">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2F8402E3">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02DBE944">
            <w:pPr>
              <w:widowControl/>
              <w:shd w:val="clear" w:color="auto" w:fill="FFFFFF"/>
              <w:spacing w:line="440" w:lineRule="exact"/>
              <w:ind w:firstLine="420" w:firstLineChars="200"/>
              <w:jc w:val="left"/>
              <w:rPr>
                <w:rFonts w:ascii="宋体" w:hAnsi="宋体" w:cs="宋体"/>
                <w:color w:val="auto"/>
                <w:szCs w:val="21"/>
                <w:highlight w:val="none"/>
              </w:rPr>
            </w:pPr>
          </w:p>
        </w:tc>
        <w:tc>
          <w:tcPr>
            <w:tcW w:w="2237" w:type="dxa"/>
            <w:tcBorders>
              <w:top w:val="single" w:color="000000" w:sz="4" w:space="0"/>
              <w:left w:val="single" w:color="000000" w:sz="4" w:space="0"/>
              <w:bottom w:val="single" w:color="000000" w:sz="4" w:space="0"/>
              <w:right w:val="single" w:color="000000" w:sz="4" w:space="0"/>
            </w:tcBorders>
          </w:tcPr>
          <w:p w14:paraId="690C3D32">
            <w:pPr>
              <w:widowControl/>
              <w:shd w:val="clear" w:color="auto" w:fill="FFFFFF"/>
              <w:spacing w:line="440" w:lineRule="exact"/>
              <w:ind w:firstLine="420" w:firstLineChars="200"/>
              <w:jc w:val="left"/>
              <w:rPr>
                <w:rFonts w:ascii="宋体" w:hAnsi="宋体" w:cs="宋体"/>
                <w:color w:val="auto"/>
                <w:szCs w:val="21"/>
                <w:highlight w:val="none"/>
              </w:rPr>
            </w:pPr>
          </w:p>
        </w:tc>
      </w:tr>
      <w:tr w14:paraId="270789D5">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72B03F88">
            <w:pPr>
              <w:widowControl/>
              <w:shd w:val="clear" w:color="auto" w:fill="FFFFFF"/>
              <w:spacing w:line="440" w:lineRule="exact"/>
              <w:ind w:firstLine="420" w:firstLineChars="200"/>
              <w:jc w:val="left"/>
              <w:rPr>
                <w:rFonts w:ascii="宋体" w:hAnsi="宋体" w:cs="宋体"/>
                <w:color w:val="auto"/>
                <w:szCs w:val="21"/>
                <w:highlight w:val="none"/>
              </w:rPr>
            </w:pPr>
          </w:p>
        </w:tc>
        <w:tc>
          <w:tcPr>
            <w:tcW w:w="1391" w:type="dxa"/>
            <w:tcBorders>
              <w:top w:val="single" w:color="000000" w:sz="4" w:space="0"/>
              <w:left w:val="single" w:color="000000" w:sz="4" w:space="0"/>
              <w:bottom w:val="single" w:color="000000" w:sz="4" w:space="0"/>
              <w:right w:val="single" w:color="000000" w:sz="4" w:space="0"/>
            </w:tcBorders>
          </w:tcPr>
          <w:p w14:paraId="5E0BEC9E">
            <w:pPr>
              <w:widowControl/>
              <w:shd w:val="clear" w:color="auto" w:fill="FFFFFF"/>
              <w:spacing w:line="440" w:lineRule="exact"/>
              <w:ind w:firstLine="420" w:firstLineChars="200"/>
              <w:jc w:val="left"/>
              <w:rPr>
                <w:rFonts w:ascii="宋体" w:hAnsi="宋体" w:cs="宋体"/>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tcPr>
          <w:p w14:paraId="0AF848F1">
            <w:pPr>
              <w:widowControl/>
              <w:shd w:val="clear" w:color="auto" w:fill="FFFFFF"/>
              <w:spacing w:line="440" w:lineRule="exact"/>
              <w:ind w:firstLine="420" w:firstLineChars="200"/>
              <w:jc w:val="left"/>
              <w:rPr>
                <w:rFonts w:ascii="宋体" w:hAnsi="宋体" w:cs="宋体"/>
                <w:color w:val="auto"/>
                <w:szCs w:val="21"/>
                <w:highlight w:val="none"/>
              </w:rPr>
            </w:pPr>
          </w:p>
        </w:tc>
        <w:tc>
          <w:tcPr>
            <w:tcW w:w="992" w:type="dxa"/>
            <w:tcBorders>
              <w:top w:val="single" w:color="000000" w:sz="4" w:space="0"/>
              <w:left w:val="single" w:color="000000" w:sz="4" w:space="0"/>
              <w:bottom w:val="single" w:color="000000" w:sz="4" w:space="0"/>
              <w:right w:val="single" w:color="000000" w:sz="4" w:space="0"/>
            </w:tcBorders>
          </w:tcPr>
          <w:p w14:paraId="68F3EFB7">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7F735AF0">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53F7E012">
            <w:pPr>
              <w:widowControl/>
              <w:shd w:val="clear" w:color="auto" w:fill="FFFFFF"/>
              <w:spacing w:line="440" w:lineRule="exact"/>
              <w:ind w:firstLine="420" w:firstLineChars="200"/>
              <w:jc w:val="left"/>
              <w:rPr>
                <w:rFonts w:ascii="宋体" w:hAnsi="宋体" w:cs="宋体"/>
                <w:color w:val="auto"/>
                <w:szCs w:val="21"/>
                <w:highlight w:val="none"/>
              </w:rPr>
            </w:pPr>
          </w:p>
        </w:tc>
        <w:tc>
          <w:tcPr>
            <w:tcW w:w="2237" w:type="dxa"/>
            <w:tcBorders>
              <w:top w:val="single" w:color="000000" w:sz="4" w:space="0"/>
              <w:left w:val="single" w:color="000000" w:sz="4" w:space="0"/>
              <w:bottom w:val="single" w:color="000000" w:sz="4" w:space="0"/>
              <w:right w:val="single" w:color="000000" w:sz="4" w:space="0"/>
            </w:tcBorders>
          </w:tcPr>
          <w:p w14:paraId="1E7C9886">
            <w:pPr>
              <w:widowControl/>
              <w:shd w:val="clear" w:color="auto" w:fill="FFFFFF"/>
              <w:spacing w:line="440" w:lineRule="exact"/>
              <w:ind w:firstLine="420" w:firstLineChars="200"/>
              <w:jc w:val="left"/>
              <w:rPr>
                <w:rFonts w:ascii="宋体" w:hAnsi="宋体" w:cs="宋体"/>
                <w:color w:val="auto"/>
                <w:szCs w:val="21"/>
                <w:highlight w:val="none"/>
              </w:rPr>
            </w:pPr>
          </w:p>
        </w:tc>
      </w:tr>
      <w:tr w14:paraId="26677C5C">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77680AA9">
            <w:pPr>
              <w:widowControl/>
              <w:shd w:val="clear" w:color="auto" w:fill="FFFFFF"/>
              <w:spacing w:line="440" w:lineRule="exact"/>
              <w:ind w:firstLine="420" w:firstLineChars="200"/>
              <w:jc w:val="left"/>
              <w:rPr>
                <w:rFonts w:ascii="宋体" w:hAnsi="宋体" w:cs="宋体"/>
                <w:color w:val="auto"/>
                <w:szCs w:val="21"/>
                <w:highlight w:val="none"/>
              </w:rPr>
            </w:pPr>
          </w:p>
        </w:tc>
        <w:tc>
          <w:tcPr>
            <w:tcW w:w="1391" w:type="dxa"/>
            <w:tcBorders>
              <w:top w:val="single" w:color="000000" w:sz="4" w:space="0"/>
              <w:left w:val="single" w:color="000000" w:sz="4" w:space="0"/>
              <w:bottom w:val="single" w:color="000000" w:sz="4" w:space="0"/>
              <w:right w:val="single" w:color="000000" w:sz="4" w:space="0"/>
            </w:tcBorders>
          </w:tcPr>
          <w:p w14:paraId="168BFDAB">
            <w:pPr>
              <w:widowControl/>
              <w:shd w:val="clear" w:color="auto" w:fill="FFFFFF"/>
              <w:spacing w:line="440" w:lineRule="exact"/>
              <w:ind w:firstLine="420" w:firstLineChars="200"/>
              <w:jc w:val="left"/>
              <w:rPr>
                <w:rFonts w:ascii="宋体" w:hAnsi="宋体" w:cs="宋体"/>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tcPr>
          <w:p w14:paraId="48D9FB7E">
            <w:pPr>
              <w:widowControl/>
              <w:shd w:val="clear" w:color="auto" w:fill="FFFFFF"/>
              <w:spacing w:line="440" w:lineRule="exact"/>
              <w:ind w:firstLine="420" w:firstLineChars="200"/>
              <w:jc w:val="left"/>
              <w:rPr>
                <w:rFonts w:ascii="宋体" w:hAnsi="宋体" w:cs="宋体"/>
                <w:color w:val="auto"/>
                <w:szCs w:val="21"/>
                <w:highlight w:val="none"/>
              </w:rPr>
            </w:pPr>
          </w:p>
        </w:tc>
        <w:tc>
          <w:tcPr>
            <w:tcW w:w="992" w:type="dxa"/>
            <w:tcBorders>
              <w:top w:val="single" w:color="000000" w:sz="4" w:space="0"/>
              <w:left w:val="single" w:color="000000" w:sz="4" w:space="0"/>
              <w:bottom w:val="single" w:color="000000" w:sz="4" w:space="0"/>
              <w:right w:val="single" w:color="000000" w:sz="4" w:space="0"/>
            </w:tcBorders>
          </w:tcPr>
          <w:p w14:paraId="516D0BF6">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412AAB11">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2553A30D">
            <w:pPr>
              <w:widowControl/>
              <w:shd w:val="clear" w:color="auto" w:fill="FFFFFF"/>
              <w:spacing w:line="440" w:lineRule="exact"/>
              <w:ind w:firstLine="420" w:firstLineChars="200"/>
              <w:jc w:val="left"/>
              <w:rPr>
                <w:rFonts w:ascii="宋体" w:hAnsi="宋体" w:cs="宋体"/>
                <w:color w:val="auto"/>
                <w:szCs w:val="21"/>
                <w:highlight w:val="none"/>
              </w:rPr>
            </w:pPr>
          </w:p>
        </w:tc>
        <w:tc>
          <w:tcPr>
            <w:tcW w:w="2237" w:type="dxa"/>
            <w:tcBorders>
              <w:top w:val="single" w:color="000000" w:sz="4" w:space="0"/>
              <w:left w:val="single" w:color="000000" w:sz="4" w:space="0"/>
              <w:bottom w:val="single" w:color="000000" w:sz="4" w:space="0"/>
              <w:right w:val="single" w:color="000000" w:sz="4" w:space="0"/>
            </w:tcBorders>
          </w:tcPr>
          <w:p w14:paraId="3C1E3AD3">
            <w:pPr>
              <w:widowControl/>
              <w:shd w:val="clear" w:color="auto" w:fill="FFFFFF"/>
              <w:spacing w:line="440" w:lineRule="exact"/>
              <w:ind w:firstLine="420" w:firstLineChars="200"/>
              <w:jc w:val="left"/>
              <w:rPr>
                <w:rFonts w:ascii="宋体" w:hAnsi="宋体" w:cs="宋体"/>
                <w:color w:val="auto"/>
                <w:szCs w:val="21"/>
                <w:highlight w:val="none"/>
              </w:rPr>
            </w:pPr>
          </w:p>
        </w:tc>
      </w:tr>
      <w:tr w14:paraId="7A8C4BB7">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710D7108">
            <w:pPr>
              <w:widowControl/>
              <w:shd w:val="clear" w:color="auto" w:fill="FFFFFF"/>
              <w:spacing w:line="440" w:lineRule="exact"/>
              <w:ind w:firstLine="420" w:firstLineChars="200"/>
              <w:jc w:val="left"/>
              <w:rPr>
                <w:rFonts w:ascii="宋体" w:hAnsi="宋体" w:cs="宋体"/>
                <w:color w:val="auto"/>
                <w:szCs w:val="21"/>
                <w:highlight w:val="none"/>
              </w:rPr>
            </w:pPr>
          </w:p>
        </w:tc>
        <w:tc>
          <w:tcPr>
            <w:tcW w:w="1391" w:type="dxa"/>
            <w:tcBorders>
              <w:top w:val="single" w:color="000000" w:sz="4" w:space="0"/>
              <w:left w:val="single" w:color="000000" w:sz="4" w:space="0"/>
              <w:bottom w:val="single" w:color="000000" w:sz="4" w:space="0"/>
              <w:right w:val="single" w:color="000000" w:sz="4" w:space="0"/>
            </w:tcBorders>
          </w:tcPr>
          <w:p w14:paraId="601D95B1">
            <w:pPr>
              <w:widowControl/>
              <w:shd w:val="clear" w:color="auto" w:fill="FFFFFF"/>
              <w:spacing w:line="440" w:lineRule="exact"/>
              <w:ind w:firstLine="420" w:firstLineChars="200"/>
              <w:jc w:val="left"/>
              <w:rPr>
                <w:rFonts w:ascii="宋体" w:hAnsi="宋体" w:cs="宋体"/>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tcPr>
          <w:p w14:paraId="3B882789">
            <w:pPr>
              <w:widowControl/>
              <w:shd w:val="clear" w:color="auto" w:fill="FFFFFF"/>
              <w:spacing w:line="440" w:lineRule="exact"/>
              <w:ind w:firstLine="420" w:firstLineChars="200"/>
              <w:jc w:val="left"/>
              <w:rPr>
                <w:rFonts w:ascii="宋体" w:hAnsi="宋体" w:cs="宋体"/>
                <w:color w:val="auto"/>
                <w:szCs w:val="21"/>
                <w:highlight w:val="none"/>
              </w:rPr>
            </w:pPr>
          </w:p>
        </w:tc>
        <w:tc>
          <w:tcPr>
            <w:tcW w:w="992" w:type="dxa"/>
            <w:tcBorders>
              <w:top w:val="single" w:color="000000" w:sz="4" w:space="0"/>
              <w:left w:val="single" w:color="000000" w:sz="4" w:space="0"/>
              <w:bottom w:val="single" w:color="000000" w:sz="4" w:space="0"/>
              <w:right w:val="single" w:color="000000" w:sz="4" w:space="0"/>
            </w:tcBorders>
          </w:tcPr>
          <w:p w14:paraId="0B6DD65B">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6D860863">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3E85EC62">
            <w:pPr>
              <w:widowControl/>
              <w:shd w:val="clear" w:color="auto" w:fill="FFFFFF"/>
              <w:spacing w:line="440" w:lineRule="exact"/>
              <w:ind w:firstLine="420" w:firstLineChars="200"/>
              <w:jc w:val="left"/>
              <w:rPr>
                <w:rFonts w:ascii="宋体" w:hAnsi="宋体" w:cs="宋体"/>
                <w:color w:val="auto"/>
                <w:szCs w:val="21"/>
                <w:highlight w:val="none"/>
              </w:rPr>
            </w:pPr>
          </w:p>
        </w:tc>
        <w:tc>
          <w:tcPr>
            <w:tcW w:w="2237" w:type="dxa"/>
            <w:tcBorders>
              <w:top w:val="single" w:color="000000" w:sz="4" w:space="0"/>
              <w:left w:val="single" w:color="000000" w:sz="4" w:space="0"/>
              <w:bottom w:val="single" w:color="000000" w:sz="4" w:space="0"/>
              <w:right w:val="single" w:color="000000" w:sz="4" w:space="0"/>
            </w:tcBorders>
          </w:tcPr>
          <w:p w14:paraId="79437311">
            <w:pPr>
              <w:widowControl/>
              <w:shd w:val="clear" w:color="auto" w:fill="FFFFFF"/>
              <w:spacing w:line="440" w:lineRule="exact"/>
              <w:ind w:firstLine="420" w:firstLineChars="200"/>
              <w:jc w:val="left"/>
              <w:rPr>
                <w:rFonts w:ascii="宋体" w:hAnsi="宋体" w:cs="宋体"/>
                <w:color w:val="auto"/>
                <w:szCs w:val="21"/>
                <w:highlight w:val="none"/>
              </w:rPr>
            </w:pPr>
          </w:p>
        </w:tc>
      </w:tr>
      <w:tr w14:paraId="22687AFF">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3FD3870E">
            <w:pPr>
              <w:widowControl/>
              <w:shd w:val="clear" w:color="auto" w:fill="FFFFFF"/>
              <w:spacing w:line="440" w:lineRule="exact"/>
              <w:ind w:firstLine="420" w:firstLineChars="200"/>
              <w:jc w:val="left"/>
              <w:rPr>
                <w:rFonts w:ascii="宋体" w:hAnsi="宋体" w:cs="宋体"/>
                <w:color w:val="auto"/>
                <w:szCs w:val="21"/>
                <w:highlight w:val="none"/>
              </w:rPr>
            </w:pPr>
          </w:p>
        </w:tc>
        <w:tc>
          <w:tcPr>
            <w:tcW w:w="1391" w:type="dxa"/>
            <w:tcBorders>
              <w:top w:val="single" w:color="000000" w:sz="4" w:space="0"/>
              <w:left w:val="single" w:color="000000" w:sz="4" w:space="0"/>
              <w:bottom w:val="single" w:color="000000" w:sz="4" w:space="0"/>
              <w:right w:val="single" w:color="000000" w:sz="4" w:space="0"/>
            </w:tcBorders>
          </w:tcPr>
          <w:p w14:paraId="5D526BBB">
            <w:pPr>
              <w:widowControl/>
              <w:shd w:val="clear" w:color="auto" w:fill="FFFFFF"/>
              <w:spacing w:line="440" w:lineRule="exact"/>
              <w:ind w:firstLine="420" w:firstLineChars="200"/>
              <w:jc w:val="left"/>
              <w:rPr>
                <w:rFonts w:ascii="宋体" w:hAnsi="宋体" w:cs="宋体"/>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tcPr>
          <w:p w14:paraId="0561036E">
            <w:pPr>
              <w:widowControl/>
              <w:shd w:val="clear" w:color="auto" w:fill="FFFFFF"/>
              <w:spacing w:line="440" w:lineRule="exact"/>
              <w:ind w:firstLine="420" w:firstLineChars="200"/>
              <w:jc w:val="left"/>
              <w:rPr>
                <w:rFonts w:ascii="宋体" w:hAnsi="宋体" w:cs="宋体"/>
                <w:color w:val="auto"/>
                <w:szCs w:val="21"/>
                <w:highlight w:val="none"/>
              </w:rPr>
            </w:pPr>
          </w:p>
        </w:tc>
        <w:tc>
          <w:tcPr>
            <w:tcW w:w="992" w:type="dxa"/>
            <w:tcBorders>
              <w:top w:val="single" w:color="000000" w:sz="4" w:space="0"/>
              <w:left w:val="single" w:color="000000" w:sz="4" w:space="0"/>
              <w:bottom w:val="single" w:color="000000" w:sz="4" w:space="0"/>
              <w:right w:val="single" w:color="000000" w:sz="4" w:space="0"/>
            </w:tcBorders>
          </w:tcPr>
          <w:p w14:paraId="4C18D979">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12AA716F">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2F6443F1">
            <w:pPr>
              <w:widowControl/>
              <w:shd w:val="clear" w:color="auto" w:fill="FFFFFF"/>
              <w:spacing w:line="440" w:lineRule="exact"/>
              <w:ind w:firstLine="420" w:firstLineChars="200"/>
              <w:jc w:val="left"/>
              <w:rPr>
                <w:rFonts w:ascii="宋体" w:hAnsi="宋体" w:cs="宋体"/>
                <w:color w:val="auto"/>
                <w:szCs w:val="21"/>
                <w:highlight w:val="none"/>
              </w:rPr>
            </w:pPr>
          </w:p>
        </w:tc>
        <w:tc>
          <w:tcPr>
            <w:tcW w:w="2237" w:type="dxa"/>
            <w:tcBorders>
              <w:top w:val="single" w:color="000000" w:sz="4" w:space="0"/>
              <w:left w:val="single" w:color="000000" w:sz="4" w:space="0"/>
              <w:bottom w:val="single" w:color="000000" w:sz="4" w:space="0"/>
              <w:right w:val="single" w:color="000000" w:sz="4" w:space="0"/>
            </w:tcBorders>
          </w:tcPr>
          <w:p w14:paraId="4106E58A">
            <w:pPr>
              <w:widowControl/>
              <w:shd w:val="clear" w:color="auto" w:fill="FFFFFF"/>
              <w:spacing w:line="440" w:lineRule="exact"/>
              <w:ind w:firstLine="420" w:firstLineChars="200"/>
              <w:jc w:val="left"/>
              <w:rPr>
                <w:rFonts w:ascii="宋体" w:hAnsi="宋体" w:cs="宋体"/>
                <w:color w:val="auto"/>
                <w:szCs w:val="21"/>
                <w:highlight w:val="none"/>
              </w:rPr>
            </w:pPr>
          </w:p>
        </w:tc>
      </w:tr>
      <w:tr w14:paraId="53DDE230">
        <w:tblPrEx>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Pr>
          <w:p w14:paraId="5A45B6BC">
            <w:pPr>
              <w:widowControl/>
              <w:shd w:val="clear" w:color="auto" w:fill="FFFFFF"/>
              <w:spacing w:line="440" w:lineRule="exact"/>
              <w:ind w:firstLine="420" w:firstLineChars="200"/>
              <w:jc w:val="left"/>
              <w:rPr>
                <w:rFonts w:ascii="宋体" w:hAnsi="宋体" w:cs="宋体"/>
                <w:color w:val="auto"/>
                <w:szCs w:val="21"/>
                <w:highlight w:val="none"/>
              </w:rPr>
            </w:pPr>
          </w:p>
        </w:tc>
        <w:tc>
          <w:tcPr>
            <w:tcW w:w="1391" w:type="dxa"/>
            <w:tcBorders>
              <w:top w:val="single" w:color="000000" w:sz="4" w:space="0"/>
              <w:left w:val="single" w:color="000000" w:sz="4" w:space="0"/>
              <w:bottom w:val="single" w:color="000000" w:sz="4" w:space="0"/>
              <w:right w:val="single" w:color="000000" w:sz="4" w:space="0"/>
            </w:tcBorders>
          </w:tcPr>
          <w:p w14:paraId="28415867">
            <w:pPr>
              <w:widowControl/>
              <w:shd w:val="clear" w:color="auto" w:fill="FFFFFF"/>
              <w:spacing w:line="440" w:lineRule="exact"/>
              <w:ind w:firstLine="420" w:firstLineChars="200"/>
              <w:jc w:val="left"/>
              <w:rPr>
                <w:rFonts w:ascii="宋体" w:hAnsi="宋体" w:cs="宋体"/>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tcPr>
          <w:p w14:paraId="139B6007">
            <w:pPr>
              <w:widowControl/>
              <w:shd w:val="clear" w:color="auto" w:fill="FFFFFF"/>
              <w:spacing w:line="440" w:lineRule="exact"/>
              <w:ind w:firstLine="420" w:firstLineChars="200"/>
              <w:jc w:val="left"/>
              <w:rPr>
                <w:rFonts w:ascii="宋体" w:hAnsi="宋体" w:cs="宋体"/>
                <w:color w:val="auto"/>
                <w:szCs w:val="21"/>
                <w:highlight w:val="none"/>
              </w:rPr>
            </w:pPr>
          </w:p>
        </w:tc>
        <w:tc>
          <w:tcPr>
            <w:tcW w:w="992" w:type="dxa"/>
            <w:tcBorders>
              <w:top w:val="single" w:color="000000" w:sz="4" w:space="0"/>
              <w:left w:val="single" w:color="000000" w:sz="4" w:space="0"/>
              <w:bottom w:val="single" w:color="000000" w:sz="4" w:space="0"/>
              <w:right w:val="single" w:color="000000" w:sz="4" w:space="0"/>
            </w:tcBorders>
          </w:tcPr>
          <w:p w14:paraId="1F4C87BB">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16B3F73D">
            <w:pPr>
              <w:widowControl/>
              <w:shd w:val="clear" w:color="auto" w:fill="FFFFFF"/>
              <w:spacing w:line="440" w:lineRule="exact"/>
              <w:ind w:firstLine="420" w:firstLineChars="200"/>
              <w:jc w:val="left"/>
              <w:rPr>
                <w:rFonts w:ascii="宋体" w:hAnsi="宋体" w:cs="宋体"/>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tcPr>
          <w:p w14:paraId="639BC39C">
            <w:pPr>
              <w:widowControl/>
              <w:shd w:val="clear" w:color="auto" w:fill="FFFFFF"/>
              <w:spacing w:line="440" w:lineRule="exact"/>
              <w:ind w:firstLine="420" w:firstLineChars="200"/>
              <w:jc w:val="left"/>
              <w:rPr>
                <w:rFonts w:ascii="宋体" w:hAnsi="宋体" w:cs="宋体"/>
                <w:color w:val="auto"/>
                <w:szCs w:val="21"/>
                <w:highlight w:val="none"/>
              </w:rPr>
            </w:pPr>
          </w:p>
        </w:tc>
        <w:tc>
          <w:tcPr>
            <w:tcW w:w="2237" w:type="dxa"/>
            <w:tcBorders>
              <w:top w:val="single" w:color="000000" w:sz="4" w:space="0"/>
              <w:left w:val="single" w:color="000000" w:sz="4" w:space="0"/>
              <w:bottom w:val="single" w:color="000000" w:sz="4" w:space="0"/>
              <w:right w:val="single" w:color="000000" w:sz="4" w:space="0"/>
            </w:tcBorders>
          </w:tcPr>
          <w:p w14:paraId="296BE7F7">
            <w:pPr>
              <w:widowControl/>
              <w:shd w:val="clear" w:color="auto" w:fill="FFFFFF"/>
              <w:spacing w:line="440" w:lineRule="exact"/>
              <w:ind w:firstLine="420" w:firstLineChars="200"/>
              <w:jc w:val="left"/>
              <w:rPr>
                <w:rFonts w:ascii="宋体" w:hAnsi="宋体" w:cs="宋体"/>
                <w:color w:val="auto"/>
                <w:szCs w:val="21"/>
                <w:highlight w:val="none"/>
              </w:rPr>
            </w:pPr>
          </w:p>
        </w:tc>
      </w:tr>
    </w:tbl>
    <w:p w14:paraId="1F9F4301">
      <w:pPr>
        <w:widowControl/>
        <w:shd w:val="clear" w:color="auto" w:fill="FFFFFF"/>
        <w:spacing w:line="440" w:lineRule="exact"/>
        <w:ind w:firstLine="420" w:firstLineChars="200"/>
        <w:jc w:val="left"/>
        <w:rPr>
          <w:color w:val="auto"/>
          <w:highlight w:val="none"/>
        </w:rPr>
      </w:pPr>
      <w:r>
        <w:rPr>
          <w:rFonts w:hint="eastAsia" w:ascii="宋体" w:hAnsi="宋体" w:cs="宋体"/>
          <w:color w:val="auto"/>
          <w:szCs w:val="21"/>
          <w:highlight w:val="none"/>
        </w:rPr>
        <w:t>8.饭菜出品时间和要求</w:t>
      </w:r>
    </w:p>
    <w:p w14:paraId="579080C1">
      <w:pPr>
        <w:widowControl/>
        <w:shd w:val="clear" w:color="auto" w:fill="FFFFFF"/>
        <w:spacing w:line="440" w:lineRule="exact"/>
        <w:ind w:firstLine="420" w:firstLineChars="200"/>
        <w:jc w:val="left"/>
        <w:rPr>
          <w:color w:val="auto"/>
          <w:highlight w:val="none"/>
        </w:rPr>
      </w:pPr>
      <w:r>
        <w:rPr>
          <w:rFonts w:hint="eastAsia" w:ascii="宋体" w:hAnsi="宋体" w:cs="宋体"/>
          <w:color w:val="auto"/>
          <w:szCs w:val="21"/>
          <w:highlight w:val="none"/>
        </w:rPr>
        <w:t>8.1  按规定准时开餐，每餐所供食品在开餐前15分钟布置完毕，如变更或其他情况，不能准时开餐，承包方应提前通知雇主，并留有充分时间做出补救。</w:t>
      </w:r>
    </w:p>
    <w:p w14:paraId="2FD18EEB">
      <w:pPr>
        <w:widowControl/>
        <w:shd w:val="clear" w:color="auto" w:fill="FFFFFF"/>
        <w:spacing w:line="440" w:lineRule="exact"/>
        <w:ind w:firstLine="420" w:firstLineChars="200"/>
        <w:jc w:val="left"/>
        <w:rPr>
          <w:color w:val="auto"/>
          <w:highlight w:val="none"/>
        </w:rPr>
      </w:pPr>
      <w:r>
        <w:rPr>
          <w:rFonts w:hint="eastAsia" w:ascii="宋体" w:hAnsi="宋体" w:cs="宋体"/>
          <w:color w:val="auto"/>
          <w:szCs w:val="21"/>
          <w:highlight w:val="none"/>
        </w:rPr>
        <w:t>8.2  合理安排用餐人数，做好用餐人员分流工作，保持供餐器皿内食品在一半以上，不可出现用餐人员等候拥挤混乱现象。</w:t>
      </w:r>
    </w:p>
    <w:p w14:paraId="4F3D6D6B">
      <w:pPr>
        <w:widowControl/>
        <w:shd w:val="clear" w:color="auto" w:fill="FFFFFF"/>
        <w:spacing w:line="440" w:lineRule="exact"/>
        <w:ind w:firstLine="420" w:firstLineChars="200"/>
        <w:jc w:val="left"/>
        <w:rPr>
          <w:color w:val="auto"/>
          <w:highlight w:val="none"/>
        </w:rPr>
      </w:pPr>
      <w:r>
        <w:rPr>
          <w:rFonts w:hint="eastAsia" w:ascii="宋体" w:hAnsi="宋体" w:cs="宋体"/>
          <w:color w:val="auto"/>
          <w:szCs w:val="21"/>
          <w:highlight w:val="none"/>
        </w:rPr>
        <w:t>8.3  分餐服务人员及时准确进行分餐，保证菜量。</w:t>
      </w:r>
    </w:p>
    <w:p w14:paraId="37651978">
      <w:pPr>
        <w:spacing w:line="440" w:lineRule="exact"/>
        <w:ind w:firstLine="422" w:firstLineChars="200"/>
        <w:rPr>
          <w:color w:val="auto"/>
          <w:highlight w:val="none"/>
        </w:rPr>
      </w:pPr>
      <w:r>
        <w:rPr>
          <w:rFonts w:hint="eastAsia" w:ascii="宋体" w:hAnsi="宋体" w:cs="宋体"/>
          <w:b/>
          <w:color w:val="auto"/>
          <w:szCs w:val="21"/>
          <w:highlight w:val="none"/>
        </w:rPr>
        <w:t>六、双方的权利及义务</w:t>
      </w:r>
    </w:p>
    <w:p w14:paraId="15CA710A">
      <w:pPr>
        <w:spacing w:line="440" w:lineRule="exact"/>
        <w:ind w:firstLine="420" w:firstLineChars="200"/>
        <w:rPr>
          <w:color w:val="auto"/>
          <w:highlight w:val="none"/>
        </w:rPr>
      </w:pPr>
      <w:r>
        <w:rPr>
          <w:rFonts w:hint="eastAsia" w:ascii="宋体" w:hAnsi="宋体" w:cs="宋体"/>
          <w:color w:val="auto"/>
          <w:szCs w:val="21"/>
          <w:highlight w:val="none"/>
        </w:rPr>
        <w:t>（一）甲方的权利与义务</w:t>
      </w:r>
    </w:p>
    <w:p w14:paraId="14F4AB91">
      <w:pPr>
        <w:spacing w:line="440" w:lineRule="exact"/>
        <w:ind w:firstLine="420" w:firstLineChars="200"/>
        <w:rPr>
          <w:color w:val="auto"/>
          <w:highlight w:val="none"/>
        </w:rPr>
      </w:pPr>
      <w:r>
        <w:rPr>
          <w:rFonts w:hint="eastAsia" w:ascii="宋体" w:hAnsi="宋体" w:cs="宋体"/>
          <w:color w:val="auto"/>
          <w:szCs w:val="21"/>
          <w:highlight w:val="none"/>
        </w:rPr>
        <w:t>1.甲方对乙方的配菜、营养搭配、卫生状况及服务水平进行全面监督，使其合法并按照合同履行责任，对不合理现象，有权责令乙方整改并要求其不断提高管理水平。</w:t>
      </w:r>
    </w:p>
    <w:p w14:paraId="07BFC473">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2 .甲方负责提供各餐别就餐的大约人数，有较大人员变动时应立即通知乙方，如因甲方未及时告知造成人员就餐影响的，由甲方承担相应责任。   </w:t>
      </w:r>
    </w:p>
    <w:p w14:paraId="12629D3A">
      <w:pPr>
        <w:spacing w:line="440" w:lineRule="exact"/>
        <w:ind w:firstLine="420" w:firstLineChars="200"/>
        <w:rPr>
          <w:color w:val="auto"/>
          <w:highlight w:val="none"/>
        </w:rPr>
      </w:pPr>
      <w:r>
        <w:rPr>
          <w:rFonts w:hint="eastAsia" w:ascii="宋体" w:hAnsi="宋体" w:cs="宋体"/>
          <w:color w:val="auto"/>
          <w:szCs w:val="21"/>
          <w:highlight w:val="none"/>
        </w:rPr>
        <w:t xml:space="preserve"> （二）乙方的权利与义务</w:t>
      </w:r>
    </w:p>
    <w:p w14:paraId="3064D046">
      <w:pPr>
        <w:spacing w:line="440" w:lineRule="exact"/>
        <w:ind w:firstLine="420" w:firstLineChars="200"/>
        <w:rPr>
          <w:color w:val="auto"/>
          <w:highlight w:val="none"/>
        </w:rPr>
      </w:pPr>
      <w:r>
        <w:rPr>
          <w:rFonts w:hint="eastAsia" w:ascii="宋体" w:hAnsi="宋体" w:cs="宋体"/>
          <w:color w:val="auto"/>
          <w:szCs w:val="21"/>
          <w:highlight w:val="none"/>
        </w:rPr>
        <w:t>1.厨房的泔脚料、垃圾应由乙方按规定处理，产生的合理费用由甲方承担。</w:t>
      </w:r>
    </w:p>
    <w:p w14:paraId="51DCC157">
      <w:pPr>
        <w:spacing w:line="440" w:lineRule="exact"/>
        <w:ind w:firstLine="420" w:firstLineChars="200"/>
        <w:rPr>
          <w:color w:val="auto"/>
          <w:highlight w:val="none"/>
        </w:rPr>
      </w:pPr>
      <w:r>
        <w:rPr>
          <w:rFonts w:hint="eastAsia" w:ascii="宋体" w:hAnsi="宋体" w:cs="宋体"/>
          <w:color w:val="auto"/>
          <w:szCs w:val="21"/>
          <w:highlight w:val="none"/>
        </w:rPr>
        <w:t>2.乙方若发现所用食材与材料有腐烂变质现象，应及时向甲方反映情况，如若乙方继续使用存在腐烂变质现象的食物造成甲方人员食物中毒或身体不适，经医院确诊后，由乙方负责赔偿甲方员工因医疗因素而引起的实际经济损失，并承担相应的法律责任。</w:t>
      </w:r>
    </w:p>
    <w:p w14:paraId="41558B6E">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3.废水、废气、废弃物排放处置应符合国家及地方相关环保法律法规规定，若未相符，须立即进行整改。</w:t>
      </w:r>
    </w:p>
    <w:p w14:paraId="62D36920">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4.遵守国家和地方的安全卫生规定，做到优秀服务，文明服务，严格把好菜肴的质量关，绝对禁止腐烂变质的食物进入食堂。严格执行国家、各级政府常态化疫情防控有关要求。</w:t>
      </w:r>
    </w:p>
    <w:p w14:paraId="5309F4A1">
      <w:pPr>
        <w:spacing w:line="440" w:lineRule="exact"/>
        <w:ind w:firstLine="420" w:firstLineChars="200"/>
        <w:rPr>
          <w:color w:val="auto"/>
          <w:highlight w:val="none"/>
        </w:rPr>
      </w:pPr>
      <w:r>
        <w:rPr>
          <w:rFonts w:hint="eastAsia" w:ascii="宋体" w:hAnsi="宋体" w:cs="宋体"/>
          <w:color w:val="auto"/>
          <w:szCs w:val="21"/>
          <w:highlight w:val="none"/>
        </w:rPr>
        <w:t>5.配合国家食品卫生监督机构检查，有异常时乙方应将情况报告甲方，由此产生的一切后果由乙方承担，甲方因此产生的损失由乙方赔偿。</w:t>
      </w:r>
    </w:p>
    <w:p w14:paraId="743C1D9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6.乙方工作人员在工作期间，要注重个人卫生，佩戴好工作帽与口罩，持有政府部门核发的有效健康证，随时接受甲方食堂管理人员的检查。</w:t>
      </w:r>
    </w:p>
    <w:p w14:paraId="7E5CD1B8">
      <w:pPr>
        <w:spacing w:line="440" w:lineRule="exact"/>
        <w:ind w:firstLine="420" w:firstLineChars="200"/>
        <w:rPr>
          <w:color w:val="auto"/>
          <w:highlight w:val="none"/>
        </w:rPr>
      </w:pPr>
      <w:r>
        <w:rPr>
          <w:rFonts w:hint="eastAsia" w:ascii="宋体" w:hAnsi="宋体" w:cs="宋体"/>
          <w:color w:val="auto"/>
          <w:szCs w:val="21"/>
          <w:highlight w:val="none"/>
        </w:rPr>
        <w:t>7.乙方承保餐饮场所责任险，附保险单复印本，为甲方提供完善的保证。</w:t>
      </w:r>
    </w:p>
    <w:p w14:paraId="29EB8AC0">
      <w:pPr>
        <w:spacing w:line="440" w:lineRule="exact"/>
        <w:ind w:firstLine="422" w:firstLineChars="200"/>
        <w:rPr>
          <w:color w:val="auto"/>
          <w:highlight w:val="none"/>
        </w:rPr>
      </w:pPr>
      <w:r>
        <w:rPr>
          <w:rFonts w:hint="eastAsia" w:ascii="宋体" w:hAnsi="宋体" w:cs="宋体"/>
          <w:b/>
          <w:color w:val="auto"/>
          <w:szCs w:val="21"/>
          <w:highlight w:val="none"/>
        </w:rPr>
        <w:t>七、 其他条款</w:t>
      </w:r>
    </w:p>
    <w:p w14:paraId="4F6CE2D4">
      <w:pPr>
        <w:spacing w:line="440" w:lineRule="exact"/>
        <w:ind w:firstLine="420" w:firstLineChars="200"/>
        <w:rPr>
          <w:color w:val="auto"/>
          <w:highlight w:val="none"/>
        </w:rPr>
      </w:pPr>
      <w:r>
        <w:rPr>
          <w:rFonts w:hint="eastAsia" w:ascii="宋体" w:hAnsi="宋体" w:cs="宋体"/>
          <w:color w:val="auto"/>
          <w:szCs w:val="21"/>
          <w:highlight w:val="none"/>
        </w:rPr>
        <w:t>1.加强对食品加工生产环节的管理。杜绝日常用品及水、电等原材料的浪费。</w:t>
      </w:r>
    </w:p>
    <w:p w14:paraId="6FFB61C7">
      <w:pPr>
        <w:spacing w:line="440" w:lineRule="exact"/>
        <w:ind w:firstLine="420" w:firstLineChars="200"/>
        <w:rPr>
          <w:color w:val="auto"/>
          <w:highlight w:val="none"/>
        </w:rPr>
      </w:pPr>
      <w:r>
        <w:rPr>
          <w:rFonts w:hint="eastAsia" w:ascii="宋体" w:hAnsi="宋体" w:cs="宋体"/>
          <w:color w:val="auto"/>
          <w:szCs w:val="21"/>
          <w:highlight w:val="none"/>
        </w:rPr>
        <w:t>2.保证食堂的饮食安全卫生，按要求做好食品留样工作；食堂工作人员不得私自携带食堂用品离开。</w:t>
      </w:r>
    </w:p>
    <w:p w14:paraId="248D816F">
      <w:pPr>
        <w:spacing w:line="440" w:lineRule="exact"/>
        <w:ind w:firstLine="420" w:firstLineChars="200"/>
        <w:rPr>
          <w:color w:val="auto"/>
          <w:highlight w:val="none"/>
        </w:rPr>
      </w:pPr>
      <w:r>
        <w:rPr>
          <w:rFonts w:hint="eastAsia" w:ascii="宋体" w:hAnsi="宋体" w:cs="宋体"/>
          <w:color w:val="auto"/>
          <w:szCs w:val="21"/>
          <w:highlight w:val="none"/>
        </w:rPr>
        <w:t>3.乙方应保证食堂的食品质量、菜肴口味、食堂卫生、规范服务等，达到餐饮行业4D日常管理标准。</w:t>
      </w:r>
    </w:p>
    <w:p w14:paraId="203B225B">
      <w:pPr>
        <w:spacing w:line="440" w:lineRule="exact"/>
        <w:ind w:firstLine="420" w:firstLineChars="200"/>
        <w:rPr>
          <w:color w:val="auto"/>
          <w:highlight w:val="none"/>
        </w:rPr>
      </w:pPr>
      <w:r>
        <w:rPr>
          <w:rFonts w:hint="eastAsia" w:ascii="宋体" w:hAnsi="宋体" w:cs="宋体"/>
          <w:color w:val="auto"/>
          <w:szCs w:val="21"/>
          <w:highlight w:val="none"/>
        </w:rPr>
        <w:t>4.食堂工作人员所有工资（福利待遇）、劳动安全、社会保险等责任均由乙方负责；食堂工作人员在工作期间和上下班途中发生人身安全事故，由乙方负责。</w:t>
      </w:r>
    </w:p>
    <w:p w14:paraId="0D0200B6">
      <w:pPr>
        <w:spacing w:line="440" w:lineRule="exact"/>
        <w:ind w:firstLine="420" w:firstLineChars="200"/>
        <w:rPr>
          <w:color w:val="auto"/>
          <w:highlight w:val="none"/>
        </w:rPr>
      </w:pPr>
      <w:r>
        <w:rPr>
          <w:rFonts w:hint="eastAsia" w:ascii="宋体" w:hAnsi="宋体" w:cs="宋体"/>
          <w:color w:val="auto"/>
          <w:szCs w:val="21"/>
          <w:highlight w:val="none"/>
        </w:rPr>
        <w:t>5.所有工作人员必须身体健康并持有效“健康证”上岗，厨师须有从事类似工作经历。</w:t>
      </w:r>
    </w:p>
    <w:p w14:paraId="4EC0F9C2">
      <w:pPr>
        <w:spacing w:line="440" w:lineRule="exact"/>
        <w:ind w:firstLine="420" w:firstLineChars="200"/>
        <w:rPr>
          <w:color w:val="auto"/>
          <w:highlight w:val="none"/>
        </w:rPr>
      </w:pPr>
      <w:r>
        <w:rPr>
          <w:rFonts w:hint="eastAsia" w:ascii="宋体" w:hAnsi="宋体" w:cs="宋体"/>
          <w:color w:val="auto"/>
          <w:szCs w:val="21"/>
          <w:highlight w:val="none"/>
        </w:rPr>
        <w:t>6.乙方要配合做好突发事件、重大事项的公务接待及服务工作。</w:t>
      </w:r>
    </w:p>
    <w:p w14:paraId="33884D27">
      <w:pPr>
        <w:spacing w:line="440" w:lineRule="exact"/>
        <w:ind w:firstLine="420" w:firstLineChars="200"/>
        <w:rPr>
          <w:color w:val="auto"/>
          <w:highlight w:val="none"/>
        </w:rPr>
      </w:pPr>
      <w:r>
        <w:rPr>
          <w:rFonts w:hint="eastAsia" w:ascii="宋体" w:hAnsi="宋体" w:cs="宋体"/>
          <w:color w:val="auto"/>
          <w:szCs w:val="21"/>
          <w:highlight w:val="none"/>
        </w:rPr>
        <w:t>7.乙方应配合甲方做好上级相关部门的检查和创文创卫相关工作。</w:t>
      </w:r>
    </w:p>
    <w:p w14:paraId="51BF87D5">
      <w:pPr>
        <w:spacing w:line="440" w:lineRule="exact"/>
        <w:ind w:firstLine="420" w:firstLineChars="200"/>
        <w:rPr>
          <w:color w:val="auto"/>
          <w:highlight w:val="none"/>
        </w:rPr>
      </w:pPr>
      <w:r>
        <w:rPr>
          <w:rFonts w:hint="eastAsia" w:ascii="宋体" w:hAnsi="宋体" w:cs="宋体"/>
          <w:color w:val="auto"/>
          <w:szCs w:val="21"/>
          <w:highlight w:val="none"/>
        </w:rPr>
        <w:t>8.乙方食堂工作人员在工作中必须统一着装，服装费用由乙方承担。</w:t>
      </w:r>
    </w:p>
    <w:p w14:paraId="0D208B59">
      <w:pPr>
        <w:spacing w:line="440" w:lineRule="exact"/>
        <w:ind w:firstLine="420" w:firstLineChars="200"/>
        <w:rPr>
          <w:color w:val="auto"/>
          <w:highlight w:val="none"/>
        </w:rPr>
      </w:pPr>
      <w:r>
        <w:rPr>
          <w:rFonts w:hint="eastAsia" w:ascii="宋体" w:hAnsi="宋体" w:cs="宋体"/>
          <w:color w:val="auto"/>
          <w:szCs w:val="21"/>
          <w:highlight w:val="none"/>
        </w:rPr>
        <w:t>9.乙方提供服务所需用工必须符合《劳动合同法》要求，依法用工。如发生用工纠纷，由乙方自行负责，甲方不承担连带责任，用工调整须报甲方备案。</w:t>
      </w:r>
    </w:p>
    <w:p w14:paraId="28F6684D">
      <w:pPr>
        <w:spacing w:line="440" w:lineRule="exact"/>
        <w:ind w:firstLine="420" w:firstLineChars="200"/>
        <w:rPr>
          <w:color w:val="auto"/>
          <w:highlight w:val="none"/>
        </w:rPr>
      </w:pPr>
      <w:r>
        <w:rPr>
          <w:rFonts w:hint="eastAsia" w:ascii="宋体" w:hAnsi="宋体" w:cs="宋体"/>
          <w:color w:val="auto"/>
          <w:szCs w:val="21"/>
          <w:highlight w:val="none"/>
        </w:rPr>
        <w:t>10.安全责任落实到位。乙方应注重食品卫生安全，负责甲方场所用工、用水、用电、用气安全和消防安全，明确责任人，服从甲方的统一管理，确保安全无事故。如发生食品安全、水电、消防安全等方面的安全事故，由乙方承担全部责任，甲方概不负责。乙方应注重落实门禁、监控等安全管控措施。</w:t>
      </w:r>
    </w:p>
    <w:p w14:paraId="30A5FBF8">
      <w:pPr>
        <w:spacing w:line="440" w:lineRule="exact"/>
        <w:ind w:firstLine="420" w:firstLineChars="200"/>
        <w:rPr>
          <w:color w:val="auto"/>
          <w:highlight w:val="none"/>
        </w:rPr>
      </w:pPr>
      <w:r>
        <w:rPr>
          <w:rFonts w:hint="eastAsia" w:ascii="宋体" w:hAnsi="宋体" w:cs="宋体"/>
          <w:color w:val="auto"/>
          <w:szCs w:val="21"/>
          <w:highlight w:val="none"/>
        </w:rPr>
        <w:t>11.食堂内的工作人员属于乙方的职工，与甲方不存在任何雇佣、委托等劳动关系，同时食堂工作人员在工作过程中的安全责任由乙方负责。如因乙方原因引发用气、用电、用水等安全生产事故的，乙方承担全部责任和经济补偿，甲方概不承担任何责任。</w:t>
      </w:r>
    </w:p>
    <w:p w14:paraId="7D9EA3A8">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12.食堂的卫生防疫、就餐环境卫生等级必须达到市卫生监督部门有关要求，甲方有权监督，并定期检查。</w:t>
      </w:r>
    </w:p>
    <w:p w14:paraId="4BC55006">
      <w:pPr>
        <w:spacing w:line="440" w:lineRule="exact"/>
        <w:ind w:firstLine="420" w:firstLineChars="200"/>
        <w:rPr>
          <w:rFonts w:hint="eastAsia"/>
          <w:color w:val="auto"/>
          <w:highlight w:val="none"/>
        </w:rPr>
      </w:pPr>
      <w:r>
        <w:rPr>
          <w:color w:val="auto"/>
          <w:highlight w:val="none"/>
        </w:rPr>
        <w:t>13.</w:t>
      </w:r>
      <w:r>
        <w:rPr>
          <w:rFonts w:hint="eastAsia"/>
          <w:color w:val="auto"/>
          <w:highlight w:val="none"/>
        </w:rPr>
        <w:t>乙方</w:t>
      </w:r>
      <w:r>
        <w:rPr>
          <w:color w:val="auto"/>
          <w:highlight w:val="none"/>
        </w:rPr>
        <w:t>须严格落实国家、省市关于反食品浪费相关法律法规及管理要求，将节约粮食、杜绝食品浪费贯穿食材采购、加工制作、供餐服务、剩余食材处理全流程，主动践行光盘行动，建立节约型食堂运营模式，杜绝各类食品浪费行为。</w:t>
      </w:r>
    </w:p>
    <w:p w14:paraId="1966A06F">
      <w:pPr>
        <w:spacing w:line="440" w:lineRule="exact"/>
        <w:ind w:firstLine="422" w:firstLineChars="200"/>
        <w:rPr>
          <w:color w:val="auto"/>
          <w:highlight w:val="none"/>
        </w:rPr>
      </w:pPr>
      <w:r>
        <w:rPr>
          <w:rFonts w:hint="eastAsia" w:ascii="宋体" w:hAnsi="宋体" w:cs="宋体"/>
          <w:b/>
          <w:color w:val="auto"/>
          <w:szCs w:val="21"/>
          <w:highlight w:val="none"/>
        </w:rPr>
        <w:t>八、 履约保证金</w:t>
      </w:r>
    </w:p>
    <w:p w14:paraId="3383FA3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1.中标后，乙方必须向甲方缴纳履约保证金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后（合同金额的10%）方可签定合同，对AA评级及以上政府采购供应商（需提供信用管理部门备案的第三方信用报告），降低履约保证金缴纳比例，降低后的履约保证金为合同金额的5%。履约保证金于合同履行结束，无违约行为和无未处理完结的安全事故后无息退还。</w:t>
      </w:r>
    </w:p>
    <w:p w14:paraId="7F66215D">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如果乙方未能按合同、招标投标文件履约的，甲方有权终止合同的履行，乙方应承担相应的完全责任，包括赔偿因此而给本单位及第三人带来的相应损失。合同期满后根据合同履行情况不再进行续聘或重新选聘服务企业，退出本项目管理时必须向本单位移交全套档案资料等，经本单位验收合格，并完成与后续服务企业的衔接后，方可退出，同时无息退还履约保证金余额。合同提前终止或期满退出的，规定时间内必须与本单位及后续管理企业的完成交接、衔接工作。</w:t>
      </w:r>
    </w:p>
    <w:p w14:paraId="16A79C26">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应在合同终止或期满后15日内，向甲方移交本项目全部档案资料（包括但不限于安全管理记录、考勤记录、设备维护记录、保洁巡查记录等），档案需为纸质+电子版本，经甲方验收合格后出具移交确认书，验收不合格的乙方应在3日内补正。</w:t>
      </w:r>
    </w:p>
    <w:p w14:paraId="1CF7F263">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3.履约保证金的退还：</w:t>
      </w:r>
    </w:p>
    <w:p w14:paraId="10F8A7D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3.1方式：无息退还至乙方缴纳履约保证金的账户。</w:t>
      </w:r>
    </w:p>
    <w:p w14:paraId="4707FF67">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3.2时间：验收合格且甲方收到发票后30日内。</w:t>
      </w:r>
    </w:p>
    <w:p w14:paraId="51D05B09">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3.3条件：按合同要求全部履约完成并经甲方验收合格，且甲方收到乙方出具的合规发票。</w:t>
      </w:r>
    </w:p>
    <w:p w14:paraId="06B6879D">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3.4不予退还情形：</w:t>
      </w:r>
    </w:p>
    <w:p w14:paraId="25FD280C">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除不可抗力情况外，乙方出现下列情形之一的，其履约保证金，甲方将视情节决定不予退还或部分不予退还。</w:t>
      </w:r>
    </w:p>
    <w:p w14:paraId="164331D4">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（1）乙方无正当理由拒绝签订合同的，或者在签订合同时向甲方提出附加条件或者更改合同实质性内容要求的；</w:t>
      </w:r>
    </w:p>
    <w:p w14:paraId="43A96EF6">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（2）乙方不履行与甲方订立的合同的；</w:t>
      </w:r>
    </w:p>
    <w:p w14:paraId="62CBCE70">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（3）乙方所供货物或服务不符合招标文件、合同规定要求的；</w:t>
      </w:r>
    </w:p>
    <w:p w14:paraId="57E1A070">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（4）乙方采取欺骗、弄虚作假方式投标的或与其它供应商串通投标的；</w:t>
      </w:r>
    </w:p>
    <w:p w14:paraId="53D91CEA">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（5）乙方将合同内容转包、违法分包的；</w:t>
      </w:r>
    </w:p>
    <w:p w14:paraId="4AD3E07A">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（6）乙方故意捏造事实或伪造证明材料，进行虚假恶意投诉或反映的。</w:t>
      </w:r>
    </w:p>
    <w:p w14:paraId="4D3A1DB2">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3.5逾期退还的违约责任：甲方逾期无故未退还履约保证金的，按中国人民银行同期贷款基准利率支付超期资金占用费，但因乙方自身原因导致无法及时退还的除外。</w:t>
      </w:r>
    </w:p>
    <w:p w14:paraId="0A6F6E5C">
      <w:pPr>
        <w:spacing w:line="440" w:lineRule="exact"/>
        <w:ind w:firstLine="422" w:firstLineChars="200"/>
        <w:rPr>
          <w:color w:val="auto"/>
          <w:highlight w:val="none"/>
        </w:rPr>
      </w:pPr>
      <w:r>
        <w:rPr>
          <w:rFonts w:hint="eastAsia" w:ascii="宋体" w:hAnsi="宋体" w:cs="宋体"/>
          <w:b/>
          <w:color w:val="auto"/>
          <w:szCs w:val="21"/>
          <w:highlight w:val="none"/>
        </w:rPr>
        <w:t>九、 处罚条款</w:t>
      </w:r>
    </w:p>
    <w:p w14:paraId="6721DFB7">
      <w:pPr>
        <w:spacing w:line="440" w:lineRule="exact"/>
        <w:ind w:firstLine="420" w:firstLineChars="200"/>
        <w:rPr>
          <w:color w:val="auto"/>
          <w:highlight w:val="none"/>
        </w:rPr>
      </w:pPr>
      <w:r>
        <w:rPr>
          <w:rFonts w:hint="eastAsia" w:ascii="宋体" w:hAnsi="宋体" w:cs="宋体"/>
          <w:color w:val="auto"/>
          <w:szCs w:val="21"/>
          <w:highlight w:val="none"/>
        </w:rPr>
        <w:t>1.乙方拟报本项目人员不得私自更换，如更换需经甲方同意。若私自更换人员或发现乙方人员存在违规违纪行为的，甲方有权对乙方做出警告、责令整改、赔偿损失、限期调离当事人等决定。</w:t>
      </w:r>
    </w:p>
    <w:p w14:paraId="063015AA">
      <w:pPr>
        <w:spacing w:line="440" w:lineRule="exact"/>
        <w:ind w:firstLine="420" w:firstLineChars="200"/>
        <w:rPr>
          <w:color w:val="auto"/>
          <w:highlight w:val="none"/>
        </w:rPr>
      </w:pPr>
      <w:r>
        <w:rPr>
          <w:rFonts w:hint="eastAsia" w:ascii="宋体" w:hAnsi="宋体" w:cs="宋体"/>
          <w:color w:val="auto"/>
          <w:szCs w:val="21"/>
          <w:highlight w:val="none"/>
        </w:rPr>
        <w:t>2.甲方对乙方管理进行全方位考核，并进行满意度测评，考核总分需达到90分以上、满意度应达到80%以上。如未达到相关考核标准，甲方有权根据考核标准对乙方进行处罚。</w:t>
      </w:r>
    </w:p>
    <w:p w14:paraId="0C3A9C51">
      <w:pPr>
        <w:spacing w:line="440" w:lineRule="exact"/>
        <w:ind w:firstLine="422" w:firstLineChars="200"/>
        <w:rPr>
          <w:color w:val="auto"/>
          <w:highlight w:val="none"/>
        </w:rPr>
      </w:pPr>
      <w:r>
        <w:rPr>
          <w:rFonts w:hint="eastAsia" w:ascii="宋体" w:hAnsi="宋体" w:cs="宋体"/>
          <w:b/>
          <w:color w:val="auto"/>
          <w:szCs w:val="21"/>
          <w:highlight w:val="none"/>
        </w:rPr>
        <w:t>十、付款方法及</w:t>
      </w:r>
      <w:r>
        <w:rPr>
          <w:rFonts w:ascii="宋体" w:hAnsi="宋体" w:cs="宋体"/>
          <w:b/>
          <w:color w:val="auto"/>
          <w:szCs w:val="21"/>
          <w:highlight w:val="none"/>
        </w:rPr>
        <w:t>税费</w:t>
      </w:r>
    </w:p>
    <w:p w14:paraId="2B89C5A3">
      <w:pPr>
        <w:spacing w:line="440" w:lineRule="exact"/>
        <w:ind w:firstLine="420" w:firstLineChars="200"/>
        <w:rPr>
          <w:color w:val="auto"/>
          <w:highlight w:val="none"/>
        </w:rPr>
      </w:pPr>
      <w:r>
        <w:rPr>
          <w:rFonts w:hint="eastAsia" w:ascii="宋体" w:hAnsi="宋体" w:cs="宋体"/>
          <w:color w:val="auto"/>
          <w:szCs w:val="21"/>
          <w:highlight w:val="none"/>
        </w:rPr>
        <w:t>合同签订后,甲方对乙方服务管理不定期进行考核；考核合格后由甲方每月向乙方支付上月的餐饮服务管理费。本合同执行中相关税费均由乙方承担。</w:t>
      </w:r>
    </w:p>
    <w:p w14:paraId="3B318DF5">
      <w:pPr>
        <w:spacing w:line="440" w:lineRule="exact"/>
        <w:ind w:firstLine="422" w:firstLineChars="200"/>
        <w:rPr>
          <w:color w:val="auto"/>
          <w:highlight w:val="none"/>
        </w:rPr>
      </w:pPr>
      <w:r>
        <w:rPr>
          <w:rFonts w:hint="eastAsia" w:ascii="宋体" w:hAnsi="宋体" w:cs="宋体"/>
          <w:b/>
          <w:color w:val="auto"/>
          <w:szCs w:val="21"/>
          <w:highlight w:val="none"/>
        </w:rPr>
        <w:t>十一、违约责任</w:t>
      </w:r>
    </w:p>
    <w:p w14:paraId="67A0F3D6">
      <w:pPr>
        <w:spacing w:line="440" w:lineRule="exact"/>
        <w:ind w:firstLine="420" w:firstLineChars="200"/>
        <w:rPr>
          <w:color w:val="auto"/>
          <w:highlight w:val="none"/>
        </w:rPr>
      </w:pPr>
      <w:r>
        <w:rPr>
          <w:rFonts w:hint="eastAsia" w:ascii="宋体" w:hAnsi="宋体" w:cs="宋体"/>
          <w:color w:val="auto"/>
          <w:szCs w:val="21"/>
          <w:highlight w:val="none"/>
        </w:rPr>
        <w:t>1.服务期间，双方不得擅自中断合同，如有异议，需提前一个月以书面形式通知对方。</w:t>
      </w:r>
    </w:p>
    <w:p w14:paraId="4784913F">
      <w:pPr>
        <w:spacing w:line="440" w:lineRule="exact"/>
        <w:ind w:firstLine="420" w:firstLineChars="200"/>
        <w:rPr>
          <w:color w:val="auto"/>
          <w:highlight w:val="none"/>
        </w:rPr>
      </w:pPr>
      <w:r>
        <w:rPr>
          <w:rFonts w:hint="eastAsia" w:ascii="宋体" w:hAnsi="宋体" w:cs="宋体"/>
          <w:color w:val="auto"/>
          <w:szCs w:val="21"/>
          <w:highlight w:val="none"/>
        </w:rPr>
        <w:t>2.乙方不得克扣食堂工作人员工资、社保及相关福利待遇等。如有发现，追究其相关责任。</w:t>
      </w:r>
    </w:p>
    <w:p w14:paraId="6A866CBA">
      <w:pPr>
        <w:spacing w:line="440" w:lineRule="exact"/>
        <w:ind w:firstLine="422" w:firstLineChars="200"/>
        <w:rPr>
          <w:color w:val="auto"/>
          <w:highlight w:val="none"/>
        </w:rPr>
      </w:pPr>
      <w:r>
        <w:rPr>
          <w:rFonts w:ascii="宋体" w:hAnsi="宋体" w:cs="宋体"/>
          <w:b/>
          <w:color w:val="auto"/>
          <w:szCs w:val="21"/>
          <w:highlight w:val="none"/>
        </w:rPr>
        <w:t xml:space="preserve"> 十</w:t>
      </w:r>
      <w:r>
        <w:rPr>
          <w:rFonts w:hint="eastAsia" w:ascii="宋体" w:hAnsi="宋体" w:cs="宋体"/>
          <w:b/>
          <w:color w:val="auto"/>
          <w:szCs w:val="21"/>
          <w:highlight w:val="none"/>
        </w:rPr>
        <w:t>二</w:t>
      </w:r>
      <w:r>
        <w:rPr>
          <w:rFonts w:ascii="宋体" w:hAnsi="宋体" w:cs="宋体"/>
          <w:b/>
          <w:color w:val="auto"/>
          <w:szCs w:val="21"/>
          <w:highlight w:val="none"/>
        </w:rPr>
        <w:t>、争议解决</w:t>
      </w:r>
    </w:p>
    <w:p w14:paraId="4F870F65">
      <w:pPr>
        <w:spacing w:line="440" w:lineRule="exact"/>
        <w:ind w:firstLine="420" w:firstLineChars="200"/>
        <w:rPr>
          <w:color w:val="auto"/>
          <w:highlight w:val="none"/>
        </w:rPr>
      </w:pPr>
      <w:r>
        <w:rPr>
          <w:rFonts w:ascii="宋体" w:hAnsi="宋体" w:cs="宋体"/>
          <w:color w:val="auto"/>
          <w:szCs w:val="21"/>
          <w:highlight w:val="none"/>
        </w:rPr>
        <w:t>双方在执行合同中所发生的一切争议，应通过协商解决。如协商不成，可向</w:t>
      </w:r>
      <w:r>
        <w:rPr>
          <w:rFonts w:hint="eastAsia" w:ascii="宋体" w:hAnsi="宋体" w:cs="宋体"/>
          <w:color w:val="auto"/>
          <w:szCs w:val="21"/>
          <w:highlight w:val="none"/>
        </w:rPr>
        <w:t>甲方所在</w:t>
      </w:r>
      <w:r>
        <w:rPr>
          <w:rFonts w:ascii="宋体" w:hAnsi="宋体" w:cs="宋体"/>
          <w:color w:val="auto"/>
          <w:szCs w:val="21"/>
          <w:highlight w:val="none"/>
        </w:rPr>
        <w:t>地法院起诉。</w:t>
      </w:r>
    </w:p>
    <w:p w14:paraId="0FB4353B">
      <w:pPr>
        <w:spacing w:line="440" w:lineRule="exact"/>
        <w:ind w:firstLine="422" w:firstLineChars="200"/>
        <w:rPr>
          <w:color w:val="auto"/>
          <w:highlight w:val="none"/>
        </w:rPr>
      </w:pPr>
      <w:r>
        <w:rPr>
          <w:rFonts w:ascii="宋体" w:hAnsi="宋体" w:cs="宋体"/>
          <w:b/>
          <w:color w:val="auto"/>
          <w:szCs w:val="21"/>
          <w:highlight w:val="none"/>
        </w:rPr>
        <w:t>十</w:t>
      </w:r>
      <w:r>
        <w:rPr>
          <w:rFonts w:hint="eastAsia" w:ascii="宋体" w:hAnsi="宋体" w:cs="宋体"/>
          <w:b/>
          <w:color w:val="auto"/>
          <w:szCs w:val="21"/>
          <w:highlight w:val="none"/>
        </w:rPr>
        <w:t>三</w:t>
      </w:r>
      <w:r>
        <w:rPr>
          <w:rFonts w:ascii="宋体" w:hAnsi="宋体" w:cs="宋体"/>
          <w:b/>
          <w:color w:val="auto"/>
          <w:szCs w:val="21"/>
          <w:highlight w:val="none"/>
        </w:rPr>
        <w:t>、合同生效及其它</w:t>
      </w:r>
    </w:p>
    <w:p w14:paraId="77D49890">
      <w:pPr>
        <w:spacing w:line="440" w:lineRule="exact"/>
        <w:ind w:firstLine="420" w:firstLineChars="200"/>
        <w:rPr>
          <w:color w:val="auto"/>
          <w:highlight w:val="none"/>
        </w:rPr>
      </w:pPr>
      <w:r>
        <w:rPr>
          <w:rFonts w:hint="eastAsia" w:ascii="宋体" w:hAnsi="宋体" w:cs="宋体"/>
          <w:color w:val="auto"/>
          <w:szCs w:val="21"/>
          <w:highlight w:val="none"/>
        </w:rPr>
        <w:t>1.合同由双方法定代表人或授权委托代表人签字并加盖单位公章后生效。</w:t>
      </w:r>
    </w:p>
    <w:p w14:paraId="732B7B12">
      <w:pPr>
        <w:spacing w:line="440" w:lineRule="exact"/>
        <w:ind w:firstLine="420" w:firstLineChars="200"/>
        <w:rPr>
          <w:color w:val="auto"/>
          <w:highlight w:val="none"/>
        </w:rPr>
      </w:pPr>
      <w:r>
        <w:rPr>
          <w:rFonts w:hint="eastAsia" w:ascii="宋体" w:hAnsi="宋体" w:cs="宋体"/>
          <w:color w:val="auto"/>
          <w:szCs w:val="21"/>
          <w:highlight w:val="none"/>
        </w:rPr>
        <w:t>2.本合同未尽事宜，遵照《中华人民共和国民法典》有关条文执行。</w:t>
      </w:r>
    </w:p>
    <w:p w14:paraId="01CE5D48">
      <w:pPr>
        <w:spacing w:line="440" w:lineRule="exact"/>
        <w:ind w:firstLine="420" w:firstLineChars="200"/>
        <w:rPr>
          <w:color w:val="auto"/>
          <w:highlight w:val="none"/>
        </w:rPr>
      </w:pPr>
      <w:r>
        <w:rPr>
          <w:rFonts w:hint="eastAsia" w:ascii="宋体" w:hAnsi="宋体" w:cs="宋体"/>
          <w:color w:val="auto"/>
          <w:szCs w:val="21"/>
          <w:highlight w:val="none"/>
        </w:rPr>
        <w:t>3.本合同正本一式陆份，具有同等法律效力，甲方、乙方及财政监管部门各执贰份。</w:t>
      </w:r>
    </w:p>
    <w:p w14:paraId="0ECFEF0A">
      <w:pPr>
        <w:spacing w:line="440" w:lineRule="exact"/>
        <w:ind w:firstLine="420" w:firstLineChars="200"/>
        <w:rPr>
          <w:color w:val="auto"/>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 </w:t>
      </w:r>
      <w:r>
        <w:rPr>
          <w:rFonts w:ascii="宋体" w:hAnsi="宋体" w:cs="宋体"/>
          <w:color w:val="auto"/>
          <w:szCs w:val="21"/>
          <w:highlight w:val="none"/>
        </w:rPr>
        <w:t xml:space="preserve">甲方：                                   乙方： </w:t>
      </w:r>
    </w:p>
    <w:p w14:paraId="483982E0">
      <w:pPr>
        <w:spacing w:line="440" w:lineRule="exact"/>
        <w:ind w:firstLine="420" w:firstLineChars="200"/>
        <w:rPr>
          <w:color w:val="auto"/>
          <w:highlight w:val="none"/>
        </w:rPr>
      </w:pPr>
      <w:r>
        <w:rPr>
          <w:rFonts w:ascii="宋体" w:hAnsi="宋体" w:cs="宋体"/>
          <w:color w:val="auto"/>
          <w:szCs w:val="21"/>
          <w:highlight w:val="none"/>
        </w:rPr>
        <w:t xml:space="preserve">  地址：                                   地址： </w:t>
      </w:r>
    </w:p>
    <w:p w14:paraId="7ED682B9">
      <w:pPr>
        <w:spacing w:line="440" w:lineRule="exact"/>
        <w:ind w:firstLine="420" w:firstLineChars="200"/>
        <w:rPr>
          <w:color w:val="auto"/>
          <w:highlight w:val="none"/>
        </w:rPr>
      </w:pPr>
      <w:r>
        <w:rPr>
          <w:rFonts w:ascii="宋体" w:hAnsi="宋体" w:cs="宋体"/>
          <w:color w:val="auto"/>
          <w:szCs w:val="21"/>
          <w:highlight w:val="none"/>
        </w:rPr>
        <w:t xml:space="preserve">  法定代表人或授权代表：                   法定代表人或授权代表：</w:t>
      </w:r>
    </w:p>
    <w:p w14:paraId="3E4C7342">
      <w:pPr>
        <w:spacing w:line="440" w:lineRule="exact"/>
        <w:ind w:firstLine="420" w:firstLineChars="200"/>
        <w:rPr>
          <w:color w:val="auto"/>
          <w:highlight w:val="none"/>
        </w:rPr>
      </w:pPr>
      <w:r>
        <w:rPr>
          <w:rFonts w:ascii="宋体" w:hAnsi="宋体" w:cs="宋体"/>
          <w:color w:val="auto"/>
          <w:szCs w:val="21"/>
          <w:highlight w:val="none"/>
        </w:rPr>
        <w:t xml:space="preserve">  联系电话：                               联系电话：</w:t>
      </w:r>
    </w:p>
    <w:p w14:paraId="596CE8CA">
      <w:pPr>
        <w:pStyle w:val="10"/>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br w:type="page"/>
      </w:r>
      <w:r>
        <w:rPr>
          <w:rFonts w:hint="eastAsia" w:ascii="黑体" w:hAnsi="宋体" w:eastAsia="黑体" w:cs="黑体"/>
          <w:color w:val="auto"/>
          <w:sz w:val="44"/>
          <w:szCs w:val="44"/>
          <w:highlight w:val="none"/>
        </w:rPr>
        <w:t> 第</w:t>
      </w:r>
      <w:bookmarkEnd w:id="157"/>
      <w:r>
        <w:rPr>
          <w:rFonts w:hint="eastAsia" w:ascii="黑体" w:hAnsi="宋体" w:eastAsia="黑体" w:cs="黑体"/>
          <w:color w:val="auto"/>
          <w:sz w:val="44"/>
          <w:szCs w:val="44"/>
          <w:highlight w:val="none"/>
        </w:rPr>
        <w:t>四章 采购需求</w:t>
      </w:r>
      <w:bookmarkEnd w:id="158"/>
      <w:bookmarkEnd w:id="159"/>
      <w:bookmarkEnd w:id="160"/>
      <w:bookmarkEnd w:id="161"/>
      <w:bookmarkStart w:id="164" w:name="_Toc26554093"/>
      <w:bookmarkEnd w:id="164"/>
      <w:bookmarkStart w:id="165" w:name="_Toc49090575"/>
      <w:bookmarkEnd w:id="165"/>
    </w:p>
    <w:p w14:paraId="73CCA7D3">
      <w:pPr>
        <w:pStyle w:val="10"/>
        <w:spacing w:beforeAutospacing="0" w:afterAutospacing="0" w:line="44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项目属性:服务类项目</w:t>
      </w:r>
    </w:p>
    <w:p w14:paraId="14AF3AED">
      <w:pPr>
        <w:spacing w:line="440" w:lineRule="exact"/>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一、采购项目基本情况：</w:t>
      </w:r>
    </w:p>
    <w:p w14:paraId="05460C2E">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2026年-2028年盐城市亭湖区行政中心食堂服务外包项目，区行政中心食堂一、二、三楼建筑面积5515.5㎡，周一至周六早餐100一150人、中餐400一550人、晚餐100一150人，值班人员(周日、法定节假日)用餐人数约100人，办公室工作餐（盒饭约40份），餐位约400个，需正常提供每日三餐，所需食材由采购人提供。</w:t>
      </w:r>
    </w:p>
    <w:p w14:paraId="7D9D0BEE">
      <w:pPr>
        <w:spacing w:line="440" w:lineRule="exact"/>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（一）食堂四餐供应标准：</w:t>
      </w:r>
    </w:p>
    <w:p w14:paraId="7BF69B13">
      <w:pPr>
        <w:spacing w:line="440" w:lineRule="exact"/>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早餐 ：</w:t>
      </w:r>
      <w:r>
        <w:rPr>
          <w:rFonts w:hint="eastAsia" w:ascii="宋体" w:hAnsi="宋体" w:eastAsia="宋体" w:cs="宋体"/>
          <w:color w:val="auto"/>
          <w:sz w:val="24"/>
          <w:highlight w:val="none"/>
        </w:rPr>
        <w:t>早餐各式面条、点心、小菜、水饺、稀饭等品种不低于15个；</w:t>
      </w:r>
    </w:p>
    <w:p w14:paraId="307C8766">
      <w:pPr>
        <w:spacing w:line="440" w:lineRule="exact"/>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午餐 ：</w:t>
      </w:r>
      <w:r>
        <w:rPr>
          <w:rFonts w:hint="eastAsia" w:ascii="宋体" w:hAnsi="宋体" w:eastAsia="宋体" w:cs="宋体"/>
          <w:color w:val="auto"/>
          <w:sz w:val="24"/>
          <w:highlight w:val="none"/>
        </w:rPr>
        <w:t>中餐荤菜10个蔬菜8个，杂粮、水果，汤饭（杂粮饭）、砂锅等风味小吃；</w:t>
      </w:r>
    </w:p>
    <w:p w14:paraId="17930E39">
      <w:pPr>
        <w:spacing w:line="440" w:lineRule="exact"/>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晚餐：</w:t>
      </w:r>
      <w:r>
        <w:rPr>
          <w:rFonts w:hint="eastAsia" w:ascii="宋体" w:hAnsi="宋体" w:eastAsia="宋体" w:cs="宋体"/>
          <w:color w:val="auto"/>
          <w:sz w:val="24"/>
          <w:highlight w:val="none"/>
        </w:rPr>
        <w:t>晚餐跟早餐相同另加卤水、小砂锅等风味小吃；</w:t>
      </w:r>
    </w:p>
    <w:p w14:paraId="5E806285">
      <w:pPr>
        <w:spacing w:line="440" w:lineRule="exact"/>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二、服务要求</w:t>
      </w:r>
    </w:p>
    <w:p w14:paraId="2E3827C1">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服务团队应负责食堂日常管理（包含但不限于人员岗位工作安排、厨具餐具等资产的使用和保管等）、日常餐饮（包含但不限于食材验收、加工、烹饪、分餐、卫生保洁等）。</w:t>
      </w:r>
    </w:p>
    <w:p w14:paraId="1D19FD92">
      <w:pPr>
        <w:spacing w:line="440" w:lineRule="exact"/>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三、项目服务人员要求</w:t>
      </w:r>
    </w:p>
    <w:p w14:paraId="68E26935">
      <w:pPr>
        <w:spacing w:line="440" w:lineRule="exact"/>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（一）组成人员</w:t>
      </w:r>
    </w:p>
    <w:p w14:paraId="24973A6E">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1.拟配置服务人员36名，分别为项目经理1人、厨师长1人、炉灶厨师5人、切配厨师4人、凉菜厨师1人、面点厨师2人、服务员8人、帮厨14人。</w:t>
      </w:r>
    </w:p>
    <w:p w14:paraId="4F2CC918">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2.岗位设置服务人数36人为最低要求，供应商必须保证不低于以下标准。</w:t>
      </w:r>
    </w:p>
    <w:tbl>
      <w:tblPr>
        <w:tblStyle w:val="11"/>
        <w:tblW w:w="9397" w:type="dxa"/>
        <w:tblInd w:w="-93" w:type="dxa"/>
        <w:tblLayout w:type="fixed"/>
        <w:tblCellMar>
          <w:top w:w="0" w:type="dxa"/>
          <w:left w:w="15" w:type="dxa"/>
          <w:bottom w:w="0" w:type="dxa"/>
          <w:right w:w="15" w:type="dxa"/>
        </w:tblCellMar>
      </w:tblPr>
      <w:tblGrid>
        <w:gridCol w:w="892"/>
        <w:gridCol w:w="1667"/>
        <w:gridCol w:w="917"/>
        <w:gridCol w:w="903"/>
        <w:gridCol w:w="5018"/>
      </w:tblGrid>
      <w:tr w14:paraId="3DB8A07B">
        <w:tblPrEx>
          <w:tblCellMar>
            <w:top w:w="0" w:type="dxa"/>
            <w:left w:w="15" w:type="dxa"/>
            <w:bottom w:w="0" w:type="dxa"/>
            <w:right w:w="15" w:type="dxa"/>
          </w:tblCellMar>
        </w:tblPrEx>
        <w:trPr>
          <w:trHeight w:val="424" w:hRule="atLeast"/>
        </w:trPr>
        <w:tc>
          <w:tcPr>
            <w:tcW w:w="892" w:type="dxa"/>
            <w:tcBorders>
              <w:top w:val="single" w:color="000000" w:sz="4" w:space="0"/>
              <w:left w:val="single" w:color="000000" w:sz="4" w:space="0"/>
              <w:bottom w:val="single" w:color="000000" w:sz="4" w:space="0"/>
              <w:right w:val="single" w:color="000000" w:sz="4" w:space="0"/>
            </w:tcBorders>
            <w:vAlign w:val="center"/>
          </w:tcPr>
          <w:p w14:paraId="293AE387">
            <w:pPr>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667" w:type="dxa"/>
            <w:tcBorders>
              <w:top w:val="single" w:color="000000" w:sz="4" w:space="0"/>
              <w:left w:val="single" w:color="000000" w:sz="4" w:space="0"/>
              <w:bottom w:val="single" w:color="000000" w:sz="4" w:space="0"/>
              <w:right w:val="single" w:color="000000" w:sz="4" w:space="0"/>
            </w:tcBorders>
            <w:vAlign w:val="center"/>
          </w:tcPr>
          <w:p w14:paraId="7A9148DB">
            <w:pPr>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名称</w:t>
            </w:r>
          </w:p>
        </w:tc>
        <w:tc>
          <w:tcPr>
            <w:tcW w:w="917" w:type="dxa"/>
            <w:tcBorders>
              <w:top w:val="single" w:color="000000" w:sz="4" w:space="0"/>
              <w:left w:val="single" w:color="000000" w:sz="4" w:space="0"/>
              <w:bottom w:val="single" w:color="000000" w:sz="4" w:space="0"/>
              <w:right w:val="single" w:color="000000" w:sz="4" w:space="0"/>
            </w:tcBorders>
            <w:vAlign w:val="center"/>
          </w:tcPr>
          <w:p w14:paraId="5AAE311E">
            <w:pPr>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w:t>
            </w:r>
          </w:p>
        </w:tc>
        <w:tc>
          <w:tcPr>
            <w:tcW w:w="903" w:type="dxa"/>
            <w:tcBorders>
              <w:top w:val="single" w:color="000000" w:sz="4" w:space="0"/>
              <w:left w:val="single" w:color="000000" w:sz="4" w:space="0"/>
              <w:bottom w:val="single" w:color="000000" w:sz="4" w:space="0"/>
              <w:right w:val="single" w:color="000000" w:sz="4" w:space="0"/>
            </w:tcBorders>
            <w:vAlign w:val="center"/>
          </w:tcPr>
          <w:p w14:paraId="3877ACB0">
            <w:pPr>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数量</w:t>
            </w:r>
          </w:p>
        </w:tc>
        <w:tc>
          <w:tcPr>
            <w:tcW w:w="5018" w:type="dxa"/>
            <w:tcBorders>
              <w:top w:val="single" w:color="000000" w:sz="4" w:space="0"/>
              <w:left w:val="single" w:color="000000" w:sz="4" w:space="0"/>
              <w:bottom w:val="single" w:color="000000" w:sz="4" w:space="0"/>
              <w:right w:val="single" w:color="000000" w:sz="4" w:space="0"/>
            </w:tcBorders>
            <w:vAlign w:val="center"/>
          </w:tcPr>
          <w:p w14:paraId="4EF99DB5">
            <w:pPr>
              <w:spacing w:line="440" w:lineRule="exact"/>
              <w:ind w:firstLine="482"/>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说   明</w:t>
            </w:r>
          </w:p>
        </w:tc>
      </w:tr>
      <w:tr w14:paraId="222B9685">
        <w:tblPrEx>
          <w:tblCellMar>
            <w:top w:w="0" w:type="dxa"/>
            <w:left w:w="15" w:type="dxa"/>
            <w:bottom w:w="0" w:type="dxa"/>
            <w:right w:w="15" w:type="dxa"/>
          </w:tblCellMar>
        </w:tblPrEx>
        <w:trPr>
          <w:trHeight w:val="1111" w:hRule="atLeast"/>
        </w:trPr>
        <w:tc>
          <w:tcPr>
            <w:tcW w:w="892" w:type="dxa"/>
            <w:tcBorders>
              <w:top w:val="single" w:color="000000" w:sz="4" w:space="0"/>
              <w:left w:val="single" w:color="000000" w:sz="4" w:space="0"/>
              <w:bottom w:val="single" w:color="000000" w:sz="4" w:space="0"/>
              <w:right w:val="single" w:color="000000" w:sz="4" w:space="0"/>
            </w:tcBorders>
            <w:vAlign w:val="center"/>
          </w:tcPr>
          <w:p w14:paraId="770CE373">
            <w:pPr>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1</w:t>
            </w:r>
          </w:p>
        </w:tc>
        <w:tc>
          <w:tcPr>
            <w:tcW w:w="1667" w:type="dxa"/>
            <w:tcBorders>
              <w:top w:val="single" w:color="000000" w:sz="4" w:space="0"/>
              <w:left w:val="single" w:color="000000" w:sz="4" w:space="0"/>
              <w:bottom w:val="single" w:color="000000" w:sz="4" w:space="0"/>
              <w:right w:val="single" w:color="000000" w:sz="4" w:space="0"/>
            </w:tcBorders>
            <w:vAlign w:val="center"/>
          </w:tcPr>
          <w:p w14:paraId="0D4B5172">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项目经理</w:t>
            </w:r>
          </w:p>
        </w:tc>
        <w:tc>
          <w:tcPr>
            <w:tcW w:w="917" w:type="dxa"/>
            <w:tcBorders>
              <w:top w:val="single" w:color="000000" w:sz="4" w:space="0"/>
              <w:left w:val="single" w:color="000000" w:sz="4" w:space="0"/>
              <w:bottom w:val="single" w:color="000000" w:sz="4" w:space="0"/>
              <w:right w:val="single" w:color="000000" w:sz="4" w:space="0"/>
            </w:tcBorders>
            <w:vAlign w:val="center"/>
          </w:tcPr>
          <w:p w14:paraId="7126BD39">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人</w:t>
            </w:r>
          </w:p>
        </w:tc>
        <w:tc>
          <w:tcPr>
            <w:tcW w:w="903" w:type="dxa"/>
            <w:tcBorders>
              <w:top w:val="single" w:color="000000" w:sz="4" w:space="0"/>
              <w:left w:val="single" w:color="000000" w:sz="4" w:space="0"/>
              <w:bottom w:val="single" w:color="000000" w:sz="4" w:space="0"/>
              <w:right w:val="single" w:color="000000" w:sz="4" w:space="0"/>
            </w:tcBorders>
            <w:vAlign w:val="center"/>
          </w:tcPr>
          <w:p w14:paraId="0D24519D">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1</w:t>
            </w:r>
          </w:p>
        </w:tc>
        <w:tc>
          <w:tcPr>
            <w:tcW w:w="5018" w:type="dxa"/>
            <w:tcBorders>
              <w:top w:val="single" w:color="000000" w:sz="4" w:space="0"/>
              <w:left w:val="single" w:color="000000" w:sz="4" w:space="0"/>
              <w:bottom w:val="single" w:color="000000" w:sz="4" w:space="0"/>
              <w:right w:val="single" w:color="000000" w:sz="4" w:space="0"/>
            </w:tcBorders>
            <w:vAlign w:val="center"/>
          </w:tcPr>
          <w:p w14:paraId="51E630CC">
            <w:pPr>
              <w:spacing w:line="440" w:lineRule="exact"/>
              <w:jc w:val="left"/>
              <w:rPr>
                <w:rFonts w:ascii="宋体" w:hAnsi="宋体" w:eastAsia="宋体" w:cs="宋体"/>
                <w:b/>
                <w:bCs/>
                <w:color w:val="auto"/>
                <w:sz w:val="24"/>
                <w:highlight w:val="none"/>
              </w:rPr>
            </w:pPr>
            <w:r>
              <w:rPr>
                <w:rFonts w:hint="eastAsia" w:ascii="宋体" w:hAnsi="宋体" w:eastAsia="宋体" w:cs="宋体"/>
                <w:bCs/>
                <w:color w:val="auto"/>
                <w:sz w:val="24"/>
                <w:highlight w:val="none"/>
              </w:rPr>
              <w:t>全权负责食堂各项服务管理工作，实施职业化的管理，做到食品卫生安全达标，环境卫生整洁，日常管理井然有序，确保食堂安全运行。</w:t>
            </w:r>
          </w:p>
        </w:tc>
      </w:tr>
      <w:tr w14:paraId="5BF102D5">
        <w:tblPrEx>
          <w:tblCellMar>
            <w:top w:w="0" w:type="dxa"/>
            <w:left w:w="15" w:type="dxa"/>
            <w:bottom w:w="0" w:type="dxa"/>
            <w:right w:w="15" w:type="dxa"/>
          </w:tblCellMar>
        </w:tblPrEx>
        <w:trPr>
          <w:trHeight w:val="90" w:hRule="atLeast"/>
        </w:trPr>
        <w:tc>
          <w:tcPr>
            <w:tcW w:w="892" w:type="dxa"/>
            <w:tcBorders>
              <w:top w:val="single" w:color="000000" w:sz="4" w:space="0"/>
              <w:left w:val="single" w:color="000000" w:sz="4" w:space="0"/>
              <w:bottom w:val="single" w:color="000000" w:sz="4" w:space="0"/>
              <w:right w:val="single" w:color="000000" w:sz="4" w:space="0"/>
            </w:tcBorders>
            <w:vAlign w:val="center"/>
          </w:tcPr>
          <w:p w14:paraId="230006A6">
            <w:pPr>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2</w:t>
            </w:r>
          </w:p>
        </w:tc>
        <w:tc>
          <w:tcPr>
            <w:tcW w:w="1667" w:type="dxa"/>
            <w:tcBorders>
              <w:top w:val="single" w:color="000000" w:sz="4" w:space="0"/>
              <w:left w:val="single" w:color="000000" w:sz="4" w:space="0"/>
              <w:bottom w:val="single" w:color="000000" w:sz="4" w:space="0"/>
              <w:right w:val="single" w:color="000000" w:sz="4" w:space="0"/>
            </w:tcBorders>
            <w:vAlign w:val="center"/>
          </w:tcPr>
          <w:p w14:paraId="40A73062">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厨师长</w:t>
            </w:r>
          </w:p>
        </w:tc>
        <w:tc>
          <w:tcPr>
            <w:tcW w:w="917" w:type="dxa"/>
            <w:tcBorders>
              <w:top w:val="single" w:color="000000" w:sz="4" w:space="0"/>
              <w:left w:val="single" w:color="000000" w:sz="4" w:space="0"/>
              <w:bottom w:val="single" w:color="000000" w:sz="4" w:space="0"/>
              <w:right w:val="single" w:color="000000" w:sz="4" w:space="0"/>
            </w:tcBorders>
            <w:vAlign w:val="center"/>
          </w:tcPr>
          <w:p w14:paraId="28003CFB">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人</w:t>
            </w:r>
          </w:p>
        </w:tc>
        <w:tc>
          <w:tcPr>
            <w:tcW w:w="903" w:type="dxa"/>
            <w:tcBorders>
              <w:top w:val="single" w:color="000000" w:sz="4" w:space="0"/>
              <w:left w:val="single" w:color="000000" w:sz="4" w:space="0"/>
              <w:bottom w:val="single" w:color="000000" w:sz="4" w:space="0"/>
              <w:right w:val="single" w:color="000000" w:sz="4" w:space="0"/>
            </w:tcBorders>
            <w:vAlign w:val="center"/>
          </w:tcPr>
          <w:p w14:paraId="2F8BA91D">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1</w:t>
            </w:r>
          </w:p>
        </w:tc>
        <w:tc>
          <w:tcPr>
            <w:tcW w:w="5018" w:type="dxa"/>
            <w:tcBorders>
              <w:top w:val="single" w:color="000000" w:sz="4" w:space="0"/>
              <w:left w:val="single" w:color="000000" w:sz="4" w:space="0"/>
              <w:bottom w:val="single" w:color="000000" w:sz="4" w:space="0"/>
              <w:right w:val="single" w:color="000000" w:sz="4" w:space="0"/>
            </w:tcBorders>
            <w:vAlign w:val="center"/>
          </w:tcPr>
          <w:p w14:paraId="4E0DB094">
            <w:pPr>
              <w:spacing w:line="440" w:lineRule="exact"/>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全面负责厨房烹饪制作工作，组织调度、安全巡视，计划用料，控制成本，精工细作，提高厨师烹饪技术，改善制作方法。</w:t>
            </w:r>
          </w:p>
        </w:tc>
      </w:tr>
      <w:tr w14:paraId="467AA9F8">
        <w:tblPrEx>
          <w:tblCellMar>
            <w:top w:w="0" w:type="dxa"/>
            <w:left w:w="15" w:type="dxa"/>
            <w:bottom w:w="0" w:type="dxa"/>
            <w:right w:w="15" w:type="dxa"/>
          </w:tblCellMar>
        </w:tblPrEx>
        <w:trPr>
          <w:trHeight w:val="1111" w:hRule="atLeast"/>
        </w:trPr>
        <w:tc>
          <w:tcPr>
            <w:tcW w:w="892" w:type="dxa"/>
            <w:tcBorders>
              <w:top w:val="single" w:color="000000" w:sz="4" w:space="0"/>
              <w:left w:val="single" w:color="000000" w:sz="4" w:space="0"/>
              <w:bottom w:val="single" w:color="000000" w:sz="4" w:space="0"/>
              <w:right w:val="single" w:color="000000" w:sz="4" w:space="0"/>
            </w:tcBorders>
            <w:vAlign w:val="center"/>
          </w:tcPr>
          <w:p w14:paraId="459CC259">
            <w:pPr>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w:t>
            </w:r>
          </w:p>
        </w:tc>
        <w:tc>
          <w:tcPr>
            <w:tcW w:w="1667" w:type="dxa"/>
            <w:tcBorders>
              <w:top w:val="single" w:color="000000" w:sz="4" w:space="0"/>
              <w:left w:val="single" w:color="000000" w:sz="4" w:space="0"/>
              <w:bottom w:val="single" w:color="000000" w:sz="4" w:space="0"/>
              <w:right w:val="single" w:color="000000" w:sz="4" w:space="0"/>
            </w:tcBorders>
            <w:vAlign w:val="center"/>
          </w:tcPr>
          <w:p w14:paraId="18379D47">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炉灶厨师</w:t>
            </w:r>
          </w:p>
        </w:tc>
        <w:tc>
          <w:tcPr>
            <w:tcW w:w="917" w:type="dxa"/>
            <w:tcBorders>
              <w:top w:val="single" w:color="000000" w:sz="4" w:space="0"/>
              <w:left w:val="single" w:color="000000" w:sz="4" w:space="0"/>
              <w:bottom w:val="single" w:color="000000" w:sz="4" w:space="0"/>
              <w:right w:val="single" w:color="000000" w:sz="4" w:space="0"/>
            </w:tcBorders>
            <w:vAlign w:val="center"/>
          </w:tcPr>
          <w:p w14:paraId="01797F4A">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人</w:t>
            </w:r>
          </w:p>
        </w:tc>
        <w:tc>
          <w:tcPr>
            <w:tcW w:w="903" w:type="dxa"/>
            <w:tcBorders>
              <w:top w:val="single" w:color="000000" w:sz="4" w:space="0"/>
              <w:left w:val="single" w:color="000000" w:sz="4" w:space="0"/>
              <w:bottom w:val="single" w:color="000000" w:sz="4" w:space="0"/>
              <w:right w:val="single" w:color="000000" w:sz="4" w:space="0"/>
            </w:tcBorders>
            <w:vAlign w:val="center"/>
          </w:tcPr>
          <w:p w14:paraId="4769F245">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5</w:t>
            </w:r>
          </w:p>
        </w:tc>
        <w:tc>
          <w:tcPr>
            <w:tcW w:w="5018" w:type="dxa"/>
            <w:tcBorders>
              <w:top w:val="single" w:color="000000" w:sz="4" w:space="0"/>
              <w:left w:val="single" w:color="000000" w:sz="4" w:space="0"/>
              <w:bottom w:val="single" w:color="000000" w:sz="4" w:space="0"/>
              <w:right w:val="single" w:color="000000" w:sz="4" w:space="0"/>
            </w:tcBorders>
            <w:vAlign w:val="center"/>
          </w:tcPr>
          <w:p w14:paraId="03560BBB">
            <w:pPr>
              <w:spacing w:line="440" w:lineRule="exact"/>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协助厨师长做好厨房烹饪制作工作，安排厨房食材的出品，检查并督导切配、帮工按规定的操作程序进行生产，参与研发新菜品等工作。</w:t>
            </w:r>
          </w:p>
        </w:tc>
      </w:tr>
      <w:tr w14:paraId="3244116D">
        <w:tblPrEx>
          <w:tblCellMar>
            <w:top w:w="0" w:type="dxa"/>
            <w:left w:w="15" w:type="dxa"/>
            <w:bottom w:w="0" w:type="dxa"/>
            <w:right w:w="15" w:type="dxa"/>
          </w:tblCellMar>
        </w:tblPrEx>
        <w:trPr>
          <w:trHeight w:val="744" w:hRule="atLeast"/>
        </w:trPr>
        <w:tc>
          <w:tcPr>
            <w:tcW w:w="892" w:type="dxa"/>
            <w:tcBorders>
              <w:top w:val="single" w:color="000000" w:sz="4" w:space="0"/>
              <w:left w:val="single" w:color="000000" w:sz="4" w:space="0"/>
              <w:bottom w:val="single" w:color="000000" w:sz="4" w:space="0"/>
              <w:right w:val="single" w:color="000000" w:sz="4" w:space="0"/>
            </w:tcBorders>
            <w:vAlign w:val="center"/>
          </w:tcPr>
          <w:p w14:paraId="2B59CCE8">
            <w:pPr>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4</w:t>
            </w:r>
          </w:p>
        </w:tc>
        <w:tc>
          <w:tcPr>
            <w:tcW w:w="1667" w:type="dxa"/>
            <w:tcBorders>
              <w:top w:val="single" w:color="000000" w:sz="4" w:space="0"/>
              <w:left w:val="single" w:color="000000" w:sz="4" w:space="0"/>
              <w:bottom w:val="single" w:color="000000" w:sz="4" w:space="0"/>
              <w:right w:val="single" w:color="000000" w:sz="4" w:space="0"/>
            </w:tcBorders>
            <w:vAlign w:val="center"/>
          </w:tcPr>
          <w:p w14:paraId="3B88D448">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切配厨师</w:t>
            </w:r>
          </w:p>
        </w:tc>
        <w:tc>
          <w:tcPr>
            <w:tcW w:w="917" w:type="dxa"/>
            <w:tcBorders>
              <w:top w:val="single" w:color="000000" w:sz="4" w:space="0"/>
              <w:left w:val="single" w:color="000000" w:sz="4" w:space="0"/>
              <w:bottom w:val="single" w:color="000000" w:sz="4" w:space="0"/>
              <w:right w:val="single" w:color="000000" w:sz="4" w:space="0"/>
            </w:tcBorders>
            <w:vAlign w:val="center"/>
          </w:tcPr>
          <w:p w14:paraId="764AF285">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人</w:t>
            </w:r>
          </w:p>
        </w:tc>
        <w:tc>
          <w:tcPr>
            <w:tcW w:w="903" w:type="dxa"/>
            <w:tcBorders>
              <w:top w:val="single" w:color="000000" w:sz="4" w:space="0"/>
              <w:left w:val="single" w:color="000000" w:sz="4" w:space="0"/>
              <w:bottom w:val="single" w:color="000000" w:sz="4" w:space="0"/>
              <w:right w:val="single" w:color="000000" w:sz="4" w:space="0"/>
            </w:tcBorders>
            <w:vAlign w:val="center"/>
          </w:tcPr>
          <w:p w14:paraId="023BE609">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4</w:t>
            </w:r>
          </w:p>
        </w:tc>
        <w:tc>
          <w:tcPr>
            <w:tcW w:w="5018" w:type="dxa"/>
            <w:tcBorders>
              <w:top w:val="single" w:color="000000" w:sz="4" w:space="0"/>
              <w:left w:val="single" w:color="000000" w:sz="4" w:space="0"/>
              <w:bottom w:val="single" w:color="000000" w:sz="4" w:space="0"/>
              <w:right w:val="single" w:color="000000" w:sz="4" w:space="0"/>
            </w:tcBorders>
            <w:vAlign w:val="center"/>
          </w:tcPr>
          <w:p w14:paraId="468C1C19">
            <w:pPr>
              <w:spacing w:line="440" w:lineRule="exact"/>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协助炉灶厨师进行菜肴出品，对厨房所需原料进行切割加工，负责切割后的原料放入冷库保险等工作。</w:t>
            </w:r>
          </w:p>
        </w:tc>
      </w:tr>
      <w:tr w14:paraId="2D53BFB3">
        <w:tblPrEx>
          <w:tblCellMar>
            <w:top w:w="0" w:type="dxa"/>
            <w:left w:w="15" w:type="dxa"/>
            <w:bottom w:w="0" w:type="dxa"/>
            <w:right w:w="15" w:type="dxa"/>
          </w:tblCellMar>
        </w:tblPrEx>
        <w:trPr>
          <w:trHeight w:val="886" w:hRule="atLeast"/>
        </w:trPr>
        <w:tc>
          <w:tcPr>
            <w:tcW w:w="892" w:type="dxa"/>
            <w:tcBorders>
              <w:top w:val="single" w:color="000000" w:sz="4" w:space="0"/>
              <w:left w:val="single" w:color="000000" w:sz="4" w:space="0"/>
              <w:bottom w:val="single" w:color="000000" w:sz="4" w:space="0"/>
              <w:right w:val="single" w:color="000000" w:sz="4" w:space="0"/>
            </w:tcBorders>
            <w:vAlign w:val="center"/>
          </w:tcPr>
          <w:p w14:paraId="0F9ED83F">
            <w:pPr>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5</w:t>
            </w:r>
          </w:p>
        </w:tc>
        <w:tc>
          <w:tcPr>
            <w:tcW w:w="1667" w:type="dxa"/>
            <w:tcBorders>
              <w:top w:val="single" w:color="000000" w:sz="4" w:space="0"/>
              <w:left w:val="single" w:color="000000" w:sz="4" w:space="0"/>
              <w:bottom w:val="single" w:color="000000" w:sz="4" w:space="0"/>
              <w:right w:val="single" w:color="000000" w:sz="4" w:space="0"/>
            </w:tcBorders>
            <w:vAlign w:val="center"/>
          </w:tcPr>
          <w:p w14:paraId="0B0180E0">
            <w:pPr>
              <w:pStyle w:val="19"/>
              <w:spacing w:before="0" w:after="0" w:line="440" w:lineRule="exact"/>
              <w:ind w:firstLine="0"/>
              <w:jc w:val="center"/>
              <w:rPr>
                <w:rFonts w:ascii="宋体" w:hAnsi="宋体" w:eastAsia="宋体" w:cs="宋体"/>
                <w:bCs/>
                <w:color w:val="auto"/>
                <w:highlight w:val="none"/>
              </w:rPr>
            </w:pPr>
            <w:r>
              <w:rPr>
                <w:rFonts w:hint="eastAsia" w:ascii="宋体" w:hAnsi="宋体" w:eastAsia="宋体" w:cs="宋体"/>
                <w:bCs/>
                <w:color w:val="auto"/>
                <w:highlight w:val="none"/>
              </w:rPr>
              <w:t>凉菜厨师</w:t>
            </w:r>
          </w:p>
        </w:tc>
        <w:tc>
          <w:tcPr>
            <w:tcW w:w="917" w:type="dxa"/>
            <w:tcBorders>
              <w:top w:val="single" w:color="000000" w:sz="4" w:space="0"/>
              <w:left w:val="single" w:color="000000" w:sz="4" w:space="0"/>
              <w:bottom w:val="single" w:color="000000" w:sz="4" w:space="0"/>
              <w:right w:val="single" w:color="000000" w:sz="4" w:space="0"/>
            </w:tcBorders>
            <w:vAlign w:val="center"/>
          </w:tcPr>
          <w:p w14:paraId="116DFF0D">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人</w:t>
            </w:r>
          </w:p>
        </w:tc>
        <w:tc>
          <w:tcPr>
            <w:tcW w:w="903" w:type="dxa"/>
            <w:tcBorders>
              <w:top w:val="single" w:color="000000" w:sz="4" w:space="0"/>
              <w:left w:val="single" w:color="000000" w:sz="4" w:space="0"/>
              <w:bottom w:val="single" w:color="000000" w:sz="4" w:space="0"/>
              <w:right w:val="single" w:color="000000" w:sz="4" w:space="0"/>
            </w:tcBorders>
            <w:vAlign w:val="center"/>
          </w:tcPr>
          <w:p w14:paraId="09F02501">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1</w:t>
            </w:r>
          </w:p>
        </w:tc>
        <w:tc>
          <w:tcPr>
            <w:tcW w:w="5018" w:type="dxa"/>
            <w:tcBorders>
              <w:top w:val="single" w:color="000000" w:sz="4" w:space="0"/>
              <w:left w:val="single" w:color="000000" w:sz="4" w:space="0"/>
              <w:bottom w:val="single" w:color="000000" w:sz="4" w:space="0"/>
              <w:right w:val="single" w:color="000000" w:sz="4" w:space="0"/>
            </w:tcBorders>
            <w:vAlign w:val="center"/>
          </w:tcPr>
          <w:p w14:paraId="78E69B96">
            <w:pPr>
              <w:spacing w:line="440" w:lineRule="exact"/>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熟练掌握凉菜菜品的制作程序与标准，提供满意的菜品。</w:t>
            </w:r>
          </w:p>
        </w:tc>
      </w:tr>
      <w:tr w14:paraId="3CCCECA9">
        <w:tblPrEx>
          <w:tblCellMar>
            <w:top w:w="0" w:type="dxa"/>
            <w:left w:w="15" w:type="dxa"/>
            <w:bottom w:w="0" w:type="dxa"/>
            <w:right w:w="15" w:type="dxa"/>
          </w:tblCellMar>
        </w:tblPrEx>
        <w:trPr>
          <w:trHeight w:val="871" w:hRule="atLeast"/>
        </w:trPr>
        <w:tc>
          <w:tcPr>
            <w:tcW w:w="892" w:type="dxa"/>
            <w:tcBorders>
              <w:top w:val="single" w:color="000000" w:sz="4" w:space="0"/>
              <w:left w:val="single" w:color="000000" w:sz="4" w:space="0"/>
              <w:bottom w:val="single" w:color="000000" w:sz="4" w:space="0"/>
              <w:right w:val="single" w:color="000000" w:sz="4" w:space="0"/>
            </w:tcBorders>
            <w:vAlign w:val="center"/>
          </w:tcPr>
          <w:p w14:paraId="4F8B6F02">
            <w:pPr>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6</w:t>
            </w:r>
          </w:p>
        </w:tc>
        <w:tc>
          <w:tcPr>
            <w:tcW w:w="1667" w:type="dxa"/>
            <w:tcBorders>
              <w:top w:val="single" w:color="000000" w:sz="4" w:space="0"/>
              <w:left w:val="single" w:color="000000" w:sz="4" w:space="0"/>
              <w:bottom w:val="single" w:color="000000" w:sz="4" w:space="0"/>
              <w:right w:val="single" w:color="000000" w:sz="4" w:space="0"/>
            </w:tcBorders>
            <w:vAlign w:val="center"/>
          </w:tcPr>
          <w:p w14:paraId="0750F19A">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面点厨师</w:t>
            </w:r>
          </w:p>
        </w:tc>
        <w:tc>
          <w:tcPr>
            <w:tcW w:w="917" w:type="dxa"/>
            <w:tcBorders>
              <w:top w:val="single" w:color="000000" w:sz="4" w:space="0"/>
              <w:left w:val="single" w:color="000000" w:sz="4" w:space="0"/>
              <w:bottom w:val="single" w:color="000000" w:sz="4" w:space="0"/>
              <w:right w:val="single" w:color="000000" w:sz="4" w:space="0"/>
            </w:tcBorders>
            <w:vAlign w:val="center"/>
          </w:tcPr>
          <w:p w14:paraId="4A9D50C7">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人</w:t>
            </w:r>
          </w:p>
        </w:tc>
        <w:tc>
          <w:tcPr>
            <w:tcW w:w="903" w:type="dxa"/>
            <w:tcBorders>
              <w:top w:val="single" w:color="000000" w:sz="4" w:space="0"/>
              <w:left w:val="single" w:color="000000" w:sz="4" w:space="0"/>
              <w:bottom w:val="single" w:color="000000" w:sz="4" w:space="0"/>
              <w:right w:val="single" w:color="000000" w:sz="4" w:space="0"/>
            </w:tcBorders>
            <w:vAlign w:val="center"/>
          </w:tcPr>
          <w:p w14:paraId="271934D2">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5018" w:type="dxa"/>
            <w:tcBorders>
              <w:top w:val="single" w:color="000000" w:sz="4" w:space="0"/>
              <w:left w:val="single" w:color="000000" w:sz="4" w:space="0"/>
              <w:bottom w:val="single" w:color="000000" w:sz="4" w:space="0"/>
              <w:right w:val="single" w:color="000000" w:sz="4" w:space="0"/>
            </w:tcBorders>
            <w:vAlign w:val="center"/>
          </w:tcPr>
          <w:p w14:paraId="1A4A9F55">
            <w:pPr>
              <w:spacing w:line="440" w:lineRule="exact"/>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根据季节变化和人员口味制作面点，不断钻研技术，增加面点品种，提高面点质量等工作。</w:t>
            </w:r>
          </w:p>
        </w:tc>
      </w:tr>
      <w:tr w14:paraId="7F788961">
        <w:tblPrEx>
          <w:tblCellMar>
            <w:top w:w="0" w:type="dxa"/>
            <w:left w:w="15" w:type="dxa"/>
            <w:bottom w:w="0" w:type="dxa"/>
            <w:right w:w="15" w:type="dxa"/>
          </w:tblCellMar>
        </w:tblPrEx>
        <w:trPr>
          <w:trHeight w:val="696" w:hRule="atLeast"/>
        </w:trPr>
        <w:tc>
          <w:tcPr>
            <w:tcW w:w="892" w:type="dxa"/>
            <w:tcBorders>
              <w:top w:val="single" w:color="000000" w:sz="4" w:space="0"/>
              <w:left w:val="single" w:color="000000" w:sz="4" w:space="0"/>
              <w:bottom w:val="single" w:color="000000" w:sz="4" w:space="0"/>
              <w:right w:val="single" w:color="000000" w:sz="4" w:space="0"/>
            </w:tcBorders>
            <w:vAlign w:val="center"/>
          </w:tcPr>
          <w:p w14:paraId="79A88077">
            <w:pPr>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7</w:t>
            </w:r>
          </w:p>
        </w:tc>
        <w:tc>
          <w:tcPr>
            <w:tcW w:w="1667" w:type="dxa"/>
            <w:tcBorders>
              <w:top w:val="single" w:color="000000" w:sz="4" w:space="0"/>
              <w:left w:val="single" w:color="000000" w:sz="4" w:space="0"/>
              <w:bottom w:val="single" w:color="000000" w:sz="4" w:space="0"/>
              <w:right w:val="single" w:color="000000" w:sz="4" w:space="0"/>
            </w:tcBorders>
            <w:vAlign w:val="center"/>
          </w:tcPr>
          <w:p w14:paraId="560C16BA">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服务员</w:t>
            </w:r>
          </w:p>
        </w:tc>
        <w:tc>
          <w:tcPr>
            <w:tcW w:w="917" w:type="dxa"/>
            <w:tcBorders>
              <w:top w:val="single" w:color="000000" w:sz="4" w:space="0"/>
              <w:left w:val="single" w:color="000000" w:sz="4" w:space="0"/>
              <w:bottom w:val="single" w:color="000000" w:sz="4" w:space="0"/>
              <w:right w:val="single" w:color="000000" w:sz="4" w:space="0"/>
            </w:tcBorders>
            <w:vAlign w:val="center"/>
          </w:tcPr>
          <w:p w14:paraId="4C2DDC9F">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人</w:t>
            </w:r>
          </w:p>
        </w:tc>
        <w:tc>
          <w:tcPr>
            <w:tcW w:w="903" w:type="dxa"/>
            <w:tcBorders>
              <w:top w:val="single" w:color="000000" w:sz="4" w:space="0"/>
              <w:left w:val="single" w:color="000000" w:sz="4" w:space="0"/>
              <w:bottom w:val="single" w:color="000000" w:sz="4" w:space="0"/>
              <w:right w:val="single" w:color="000000" w:sz="4" w:space="0"/>
            </w:tcBorders>
            <w:vAlign w:val="center"/>
          </w:tcPr>
          <w:p w14:paraId="3EBCAD57">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8</w:t>
            </w:r>
          </w:p>
        </w:tc>
        <w:tc>
          <w:tcPr>
            <w:tcW w:w="5018" w:type="dxa"/>
            <w:tcBorders>
              <w:top w:val="single" w:color="000000" w:sz="4" w:space="0"/>
              <w:left w:val="single" w:color="000000" w:sz="4" w:space="0"/>
              <w:bottom w:val="single" w:color="000000" w:sz="4" w:space="0"/>
              <w:right w:val="single" w:color="000000" w:sz="4" w:space="0"/>
            </w:tcBorders>
            <w:vAlign w:val="center"/>
          </w:tcPr>
          <w:p w14:paraId="49BBF82A">
            <w:pPr>
              <w:spacing w:line="440" w:lineRule="exact"/>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在项目经理的领导下，完成三餐服务工作。</w:t>
            </w:r>
          </w:p>
        </w:tc>
      </w:tr>
      <w:tr w14:paraId="28A42EBF">
        <w:tblPrEx>
          <w:tblCellMar>
            <w:top w:w="0" w:type="dxa"/>
            <w:left w:w="15" w:type="dxa"/>
            <w:bottom w:w="0" w:type="dxa"/>
            <w:right w:w="15" w:type="dxa"/>
          </w:tblCellMar>
        </w:tblPrEx>
        <w:trPr>
          <w:trHeight w:val="935" w:hRule="atLeast"/>
        </w:trPr>
        <w:tc>
          <w:tcPr>
            <w:tcW w:w="892" w:type="dxa"/>
            <w:tcBorders>
              <w:top w:val="single" w:color="000000" w:sz="4" w:space="0"/>
              <w:left w:val="single" w:color="000000" w:sz="4" w:space="0"/>
              <w:bottom w:val="single" w:color="000000" w:sz="4" w:space="0"/>
              <w:right w:val="single" w:color="000000" w:sz="4" w:space="0"/>
            </w:tcBorders>
            <w:vAlign w:val="center"/>
          </w:tcPr>
          <w:p w14:paraId="7BE6640B">
            <w:pPr>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8</w:t>
            </w:r>
          </w:p>
        </w:tc>
        <w:tc>
          <w:tcPr>
            <w:tcW w:w="1667" w:type="dxa"/>
            <w:tcBorders>
              <w:top w:val="single" w:color="000000" w:sz="4" w:space="0"/>
              <w:left w:val="single" w:color="000000" w:sz="4" w:space="0"/>
              <w:bottom w:val="single" w:color="000000" w:sz="4" w:space="0"/>
              <w:right w:val="single" w:color="000000" w:sz="4" w:space="0"/>
            </w:tcBorders>
            <w:vAlign w:val="center"/>
          </w:tcPr>
          <w:p w14:paraId="747C7CA9">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帮厨</w:t>
            </w:r>
          </w:p>
        </w:tc>
        <w:tc>
          <w:tcPr>
            <w:tcW w:w="917" w:type="dxa"/>
            <w:tcBorders>
              <w:top w:val="single" w:color="000000" w:sz="4" w:space="0"/>
              <w:left w:val="single" w:color="000000" w:sz="4" w:space="0"/>
              <w:bottom w:val="single" w:color="000000" w:sz="4" w:space="0"/>
              <w:right w:val="single" w:color="000000" w:sz="4" w:space="0"/>
            </w:tcBorders>
            <w:vAlign w:val="center"/>
          </w:tcPr>
          <w:p w14:paraId="3330AC0B">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人</w:t>
            </w:r>
          </w:p>
        </w:tc>
        <w:tc>
          <w:tcPr>
            <w:tcW w:w="903" w:type="dxa"/>
            <w:tcBorders>
              <w:top w:val="single" w:color="000000" w:sz="4" w:space="0"/>
              <w:left w:val="single" w:color="000000" w:sz="4" w:space="0"/>
              <w:bottom w:val="single" w:color="000000" w:sz="4" w:space="0"/>
              <w:right w:val="single" w:color="000000" w:sz="4" w:space="0"/>
            </w:tcBorders>
            <w:vAlign w:val="center"/>
          </w:tcPr>
          <w:p w14:paraId="773AE03F">
            <w:pPr>
              <w:spacing w:line="440" w:lineRule="exact"/>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14</w:t>
            </w:r>
          </w:p>
        </w:tc>
        <w:tc>
          <w:tcPr>
            <w:tcW w:w="5018" w:type="dxa"/>
            <w:tcBorders>
              <w:top w:val="single" w:color="000000" w:sz="4" w:space="0"/>
              <w:left w:val="single" w:color="000000" w:sz="4" w:space="0"/>
              <w:bottom w:val="single" w:color="000000" w:sz="4" w:space="0"/>
              <w:right w:val="single" w:color="000000" w:sz="4" w:space="0"/>
            </w:tcBorders>
            <w:vAlign w:val="center"/>
          </w:tcPr>
          <w:p w14:paraId="5A7AF18B">
            <w:pPr>
              <w:spacing w:line="440" w:lineRule="exact"/>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做好食堂环境卫生清洁、餐具卫生清理、垃圾清运，协助做好各种原料的粗处理工作，分装菜肴、上菜等工作。</w:t>
            </w:r>
          </w:p>
        </w:tc>
      </w:tr>
    </w:tbl>
    <w:p w14:paraId="752F82FA">
      <w:pPr>
        <w:spacing w:line="440" w:lineRule="exact"/>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（二）人员要求</w:t>
      </w:r>
    </w:p>
    <w:p w14:paraId="53B9B3A8">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项目</w:t>
      </w:r>
      <w:r>
        <w:rPr>
          <w:rFonts w:hint="eastAsia" w:ascii="宋体" w:hAnsi="宋体" w:eastAsia="宋体" w:cs="宋体"/>
          <w:bCs/>
          <w:color w:val="auto"/>
          <w:sz w:val="24"/>
          <w:highlight w:val="none"/>
        </w:rPr>
        <w:t>服务人员</w:t>
      </w:r>
      <w:r>
        <w:rPr>
          <w:rFonts w:hint="eastAsia" w:ascii="宋体" w:hAnsi="宋体" w:eastAsia="宋体" w:cs="宋体"/>
          <w:color w:val="auto"/>
          <w:sz w:val="24"/>
          <w:highlight w:val="none"/>
        </w:rPr>
        <w:t>年龄须在55周岁以下。其中，项目主要负责人45周岁以下，食堂服务员为40周岁以下女性，其他人员男性55周岁以下、女性50周岁以下，确保身体健康，无传染病，持有有效《健康证》（投标时无需提供）。</w:t>
      </w:r>
    </w:p>
    <w:p w14:paraId="3A0CD7EA">
      <w:pPr>
        <w:spacing w:line="440" w:lineRule="exact"/>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四、服务期限</w:t>
      </w:r>
    </w:p>
    <w:p w14:paraId="4ED2AA69">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1.本项目服务期限为两年。其中：前三个月为试用期，试用期满经采购人考核合格后，合同方为有效。考核不合格，采购人有权终止合同。</w:t>
      </w:r>
    </w:p>
    <w:p w14:paraId="203BB151">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2.招标人对中标人管理进行全方位考核，并进行满意度测评，考核总分需达到90分以上、满意度应达到90%以上（详见下表：食堂工作月度考核表）。</w:t>
      </w:r>
    </w:p>
    <w:tbl>
      <w:tblPr>
        <w:tblStyle w:val="11"/>
        <w:tblW w:w="0" w:type="auto"/>
        <w:jc w:val="center"/>
        <w:tblLayout w:type="fixed"/>
        <w:tblCellMar>
          <w:top w:w="0" w:type="dxa"/>
          <w:left w:w="108" w:type="dxa"/>
          <w:bottom w:w="0" w:type="dxa"/>
          <w:right w:w="108" w:type="dxa"/>
        </w:tblCellMar>
      </w:tblPr>
      <w:tblGrid>
        <w:gridCol w:w="709"/>
        <w:gridCol w:w="1276"/>
        <w:gridCol w:w="5387"/>
        <w:gridCol w:w="850"/>
        <w:gridCol w:w="851"/>
        <w:gridCol w:w="850"/>
      </w:tblGrid>
      <w:tr w14:paraId="68F63C78">
        <w:tblPrEx>
          <w:tblCellMar>
            <w:top w:w="0" w:type="dxa"/>
            <w:left w:w="108" w:type="dxa"/>
            <w:bottom w:w="0" w:type="dxa"/>
            <w:right w:w="108" w:type="dxa"/>
          </w:tblCellMar>
        </w:tblPrEx>
        <w:trPr>
          <w:trHeight w:val="555" w:hRule="atLeast"/>
          <w:jc w:val="center"/>
        </w:trPr>
        <w:tc>
          <w:tcPr>
            <w:tcW w:w="9923" w:type="dxa"/>
            <w:gridSpan w:val="6"/>
            <w:tcBorders>
              <w:top w:val="single" w:color="auto" w:sz="4" w:space="0"/>
              <w:left w:val="single" w:color="auto" w:sz="4" w:space="0"/>
              <w:bottom w:val="single" w:color="auto" w:sz="4" w:space="0"/>
              <w:right w:val="single" w:color="auto" w:sz="4" w:space="0"/>
            </w:tcBorders>
            <w:vAlign w:val="center"/>
          </w:tcPr>
          <w:p w14:paraId="4A4139A1">
            <w:pPr>
              <w:widowControl/>
              <w:spacing w:line="440" w:lineRule="exact"/>
              <w:ind w:firstLine="482"/>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食堂工作月度考核表          年 月  日 </w:t>
            </w:r>
          </w:p>
        </w:tc>
      </w:tr>
      <w:tr w14:paraId="3F47D76E">
        <w:tblPrEx>
          <w:tblCellMar>
            <w:top w:w="0" w:type="dxa"/>
            <w:left w:w="108" w:type="dxa"/>
            <w:bottom w:w="0" w:type="dxa"/>
            <w:right w:w="108" w:type="dxa"/>
          </w:tblCellMar>
        </w:tblPrEx>
        <w:trPr>
          <w:trHeight w:val="735"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41616346">
            <w:pPr>
              <w:widowControl/>
              <w:spacing w:line="44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276" w:type="dxa"/>
            <w:tcBorders>
              <w:top w:val="nil"/>
              <w:left w:val="nil"/>
              <w:bottom w:val="single" w:color="auto" w:sz="4" w:space="0"/>
              <w:right w:val="single" w:color="auto" w:sz="4" w:space="0"/>
            </w:tcBorders>
            <w:shd w:val="clear" w:color="auto" w:fill="auto"/>
            <w:vAlign w:val="center"/>
          </w:tcPr>
          <w:p w14:paraId="55CE5536">
            <w:pPr>
              <w:widowControl/>
              <w:spacing w:line="44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考核项目</w:t>
            </w:r>
          </w:p>
        </w:tc>
        <w:tc>
          <w:tcPr>
            <w:tcW w:w="5387" w:type="dxa"/>
            <w:tcBorders>
              <w:top w:val="nil"/>
              <w:left w:val="nil"/>
              <w:bottom w:val="single" w:color="auto" w:sz="4" w:space="0"/>
              <w:right w:val="single" w:color="auto" w:sz="4" w:space="0"/>
            </w:tcBorders>
            <w:shd w:val="clear" w:color="000000" w:fill="FFFFFF"/>
            <w:vAlign w:val="center"/>
          </w:tcPr>
          <w:p w14:paraId="2A33FB45">
            <w:pPr>
              <w:widowControl/>
              <w:spacing w:line="44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考  核  内  容</w:t>
            </w:r>
          </w:p>
        </w:tc>
        <w:tc>
          <w:tcPr>
            <w:tcW w:w="850" w:type="dxa"/>
            <w:tcBorders>
              <w:top w:val="nil"/>
              <w:left w:val="nil"/>
              <w:bottom w:val="single" w:color="auto" w:sz="4" w:space="0"/>
              <w:right w:val="single" w:color="auto" w:sz="4" w:space="0"/>
            </w:tcBorders>
            <w:shd w:val="clear" w:color="000000" w:fill="FFFFFF"/>
            <w:vAlign w:val="center"/>
          </w:tcPr>
          <w:p w14:paraId="20255C80">
            <w:pPr>
              <w:widowControl/>
              <w:spacing w:line="44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标准分</w:t>
            </w:r>
          </w:p>
        </w:tc>
        <w:tc>
          <w:tcPr>
            <w:tcW w:w="851" w:type="dxa"/>
            <w:tcBorders>
              <w:top w:val="nil"/>
              <w:left w:val="nil"/>
              <w:bottom w:val="single" w:color="auto" w:sz="4" w:space="0"/>
              <w:right w:val="single" w:color="auto" w:sz="4" w:space="0"/>
            </w:tcBorders>
            <w:vAlign w:val="center"/>
          </w:tcPr>
          <w:p w14:paraId="65296AEF">
            <w:pPr>
              <w:widowControl/>
              <w:spacing w:line="44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考核</w:t>
            </w:r>
          </w:p>
          <w:p w14:paraId="6D111AF3">
            <w:pPr>
              <w:widowControl/>
              <w:spacing w:line="44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得分</w:t>
            </w:r>
          </w:p>
        </w:tc>
        <w:tc>
          <w:tcPr>
            <w:tcW w:w="850" w:type="dxa"/>
            <w:tcBorders>
              <w:top w:val="nil"/>
              <w:left w:val="nil"/>
              <w:bottom w:val="single" w:color="auto" w:sz="4" w:space="0"/>
              <w:right w:val="single" w:color="auto" w:sz="4" w:space="0"/>
            </w:tcBorders>
            <w:vAlign w:val="center"/>
          </w:tcPr>
          <w:p w14:paraId="1C516971">
            <w:pPr>
              <w:widowControl/>
              <w:spacing w:line="44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备 注 说 明</w:t>
            </w:r>
          </w:p>
        </w:tc>
      </w:tr>
      <w:tr w14:paraId="5F101CC2">
        <w:tblPrEx>
          <w:tblCellMar>
            <w:top w:w="0" w:type="dxa"/>
            <w:left w:w="108" w:type="dxa"/>
            <w:bottom w:w="0" w:type="dxa"/>
            <w:right w:w="108" w:type="dxa"/>
          </w:tblCellMar>
        </w:tblPrEx>
        <w:trPr>
          <w:trHeight w:val="735"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4ABCC122">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nil"/>
              <w:left w:val="nil"/>
              <w:bottom w:val="single" w:color="auto" w:sz="4" w:space="0"/>
              <w:right w:val="single" w:color="auto" w:sz="4" w:space="0"/>
            </w:tcBorders>
            <w:shd w:val="clear" w:color="auto" w:fill="auto"/>
            <w:vAlign w:val="center"/>
          </w:tcPr>
          <w:p w14:paraId="3AA75A88">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工作纪律</w:t>
            </w:r>
          </w:p>
        </w:tc>
        <w:tc>
          <w:tcPr>
            <w:tcW w:w="5387" w:type="dxa"/>
            <w:tcBorders>
              <w:top w:val="nil"/>
              <w:left w:val="nil"/>
              <w:bottom w:val="single" w:color="auto" w:sz="4" w:space="0"/>
              <w:right w:val="single" w:color="auto" w:sz="4" w:space="0"/>
            </w:tcBorders>
            <w:shd w:val="clear" w:color="000000" w:fill="FFFFFF"/>
            <w:vAlign w:val="center"/>
          </w:tcPr>
          <w:p w14:paraId="0179EDDE">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严格按照食堂管理制度，按时上下班，完成当日工作，上班时间严禁做与本职工作无关事项，每违反一次扣1分。</w:t>
            </w:r>
          </w:p>
        </w:tc>
        <w:tc>
          <w:tcPr>
            <w:tcW w:w="850" w:type="dxa"/>
            <w:tcBorders>
              <w:top w:val="nil"/>
              <w:left w:val="nil"/>
              <w:bottom w:val="single" w:color="auto" w:sz="4" w:space="0"/>
              <w:right w:val="single" w:color="auto" w:sz="4" w:space="0"/>
            </w:tcBorders>
            <w:shd w:val="clear" w:color="000000" w:fill="FFFFFF"/>
            <w:vAlign w:val="center"/>
          </w:tcPr>
          <w:p w14:paraId="6270EDEF">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nil"/>
              <w:left w:val="nil"/>
              <w:bottom w:val="single" w:color="auto" w:sz="4" w:space="0"/>
              <w:right w:val="single" w:color="auto" w:sz="4" w:space="0"/>
            </w:tcBorders>
            <w:vAlign w:val="center"/>
          </w:tcPr>
          <w:p w14:paraId="1FF0EBA8">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5A4B7EC0">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31BFE1BD">
        <w:tblPrEx>
          <w:tblCellMar>
            <w:top w:w="0" w:type="dxa"/>
            <w:left w:w="108" w:type="dxa"/>
            <w:bottom w:w="0" w:type="dxa"/>
            <w:right w:w="108" w:type="dxa"/>
          </w:tblCellMar>
        </w:tblPrEx>
        <w:trPr>
          <w:trHeight w:val="555"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6698136F">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276" w:type="dxa"/>
            <w:tcBorders>
              <w:top w:val="nil"/>
              <w:left w:val="nil"/>
              <w:bottom w:val="single" w:color="auto" w:sz="4" w:space="0"/>
              <w:right w:val="single" w:color="auto" w:sz="4" w:space="0"/>
            </w:tcBorders>
            <w:shd w:val="clear" w:color="auto" w:fill="auto"/>
            <w:vAlign w:val="center"/>
          </w:tcPr>
          <w:p w14:paraId="02907A9B">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区域卫生</w:t>
            </w:r>
          </w:p>
        </w:tc>
        <w:tc>
          <w:tcPr>
            <w:tcW w:w="5387" w:type="dxa"/>
            <w:tcBorders>
              <w:top w:val="nil"/>
              <w:left w:val="nil"/>
              <w:bottom w:val="single" w:color="auto" w:sz="4" w:space="0"/>
              <w:right w:val="single" w:color="auto" w:sz="4" w:space="0"/>
            </w:tcBorders>
            <w:shd w:val="clear" w:color="000000" w:fill="FFFFFF"/>
            <w:vAlign w:val="center"/>
          </w:tcPr>
          <w:p w14:paraId="76CB7B2A">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所负责区域的卫生要时刻做到干净、整洁，设备设施要摆放到固定位置，未按要求达标者每次扣1分</w:t>
            </w:r>
          </w:p>
        </w:tc>
        <w:tc>
          <w:tcPr>
            <w:tcW w:w="850" w:type="dxa"/>
            <w:tcBorders>
              <w:top w:val="nil"/>
              <w:left w:val="nil"/>
              <w:bottom w:val="single" w:color="auto" w:sz="4" w:space="0"/>
              <w:right w:val="single" w:color="auto" w:sz="4" w:space="0"/>
            </w:tcBorders>
            <w:shd w:val="clear" w:color="000000" w:fill="FFFFFF"/>
            <w:vAlign w:val="center"/>
          </w:tcPr>
          <w:p w14:paraId="04311D3E">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nil"/>
              <w:left w:val="nil"/>
              <w:bottom w:val="single" w:color="auto" w:sz="4" w:space="0"/>
              <w:right w:val="single" w:color="auto" w:sz="4" w:space="0"/>
            </w:tcBorders>
            <w:vAlign w:val="center"/>
          </w:tcPr>
          <w:p w14:paraId="3BB3330A">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26610591">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2B3FFC73">
        <w:tblPrEx>
          <w:tblCellMar>
            <w:top w:w="0" w:type="dxa"/>
            <w:left w:w="108" w:type="dxa"/>
            <w:bottom w:w="0" w:type="dxa"/>
            <w:right w:w="108" w:type="dxa"/>
          </w:tblCellMar>
        </w:tblPrEx>
        <w:trPr>
          <w:trHeight w:val="795"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7AFE7687">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1276" w:type="dxa"/>
            <w:tcBorders>
              <w:top w:val="nil"/>
              <w:left w:val="nil"/>
              <w:bottom w:val="single" w:color="auto" w:sz="4" w:space="0"/>
              <w:right w:val="single" w:color="auto" w:sz="4" w:space="0"/>
            </w:tcBorders>
            <w:shd w:val="clear" w:color="auto" w:fill="auto"/>
            <w:vAlign w:val="center"/>
          </w:tcPr>
          <w:p w14:paraId="0351C0EB">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工作态度</w:t>
            </w:r>
          </w:p>
        </w:tc>
        <w:tc>
          <w:tcPr>
            <w:tcW w:w="5387" w:type="dxa"/>
            <w:tcBorders>
              <w:top w:val="nil"/>
              <w:left w:val="nil"/>
              <w:bottom w:val="single" w:color="auto" w:sz="4" w:space="0"/>
              <w:right w:val="single" w:color="auto" w:sz="4" w:space="0"/>
            </w:tcBorders>
            <w:shd w:val="clear" w:color="000000" w:fill="FFFFFF"/>
            <w:vAlign w:val="center"/>
          </w:tcPr>
          <w:p w14:paraId="5DE3A6DE">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包含：服务态度，工作表现及团体合作，应做到礼貌、勤勉、积极主动、认真负责，未按要求达标者每次扣1分,被服务对象投诉的，每次扣2分</w:t>
            </w:r>
          </w:p>
        </w:tc>
        <w:tc>
          <w:tcPr>
            <w:tcW w:w="850" w:type="dxa"/>
            <w:tcBorders>
              <w:top w:val="nil"/>
              <w:left w:val="nil"/>
              <w:bottom w:val="single" w:color="auto" w:sz="4" w:space="0"/>
              <w:right w:val="single" w:color="auto" w:sz="4" w:space="0"/>
            </w:tcBorders>
            <w:shd w:val="clear" w:color="000000" w:fill="FFFFFF"/>
            <w:vAlign w:val="center"/>
          </w:tcPr>
          <w:p w14:paraId="168ACD53">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nil"/>
              <w:left w:val="nil"/>
              <w:bottom w:val="single" w:color="auto" w:sz="4" w:space="0"/>
              <w:right w:val="single" w:color="auto" w:sz="4" w:space="0"/>
            </w:tcBorders>
            <w:vAlign w:val="center"/>
          </w:tcPr>
          <w:p w14:paraId="40DB05BA">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607A575A">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732B44BE">
        <w:tblPrEx>
          <w:tblCellMar>
            <w:top w:w="0" w:type="dxa"/>
            <w:left w:w="108" w:type="dxa"/>
            <w:bottom w:w="0" w:type="dxa"/>
            <w:right w:w="108" w:type="dxa"/>
          </w:tblCellMar>
        </w:tblPrEx>
        <w:trPr>
          <w:trHeight w:val="570"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5EC49C95">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1276" w:type="dxa"/>
            <w:tcBorders>
              <w:top w:val="nil"/>
              <w:left w:val="nil"/>
              <w:bottom w:val="single" w:color="auto" w:sz="4" w:space="0"/>
              <w:right w:val="single" w:color="auto" w:sz="4" w:space="0"/>
            </w:tcBorders>
            <w:shd w:val="clear" w:color="auto" w:fill="auto"/>
            <w:vAlign w:val="center"/>
          </w:tcPr>
          <w:p w14:paraId="1B0410E1">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执行力</w:t>
            </w:r>
          </w:p>
        </w:tc>
        <w:tc>
          <w:tcPr>
            <w:tcW w:w="5387" w:type="dxa"/>
            <w:tcBorders>
              <w:top w:val="nil"/>
              <w:left w:val="nil"/>
              <w:bottom w:val="single" w:color="auto" w:sz="4" w:space="0"/>
              <w:right w:val="single" w:color="auto" w:sz="4" w:space="0"/>
            </w:tcBorders>
            <w:shd w:val="clear" w:color="000000" w:fill="FFFFFF"/>
            <w:vAlign w:val="center"/>
          </w:tcPr>
          <w:p w14:paraId="5FB74D7F">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上级工作安排，不得推诿或拒绝执行，未按要求完成，每违反一次扣1分，拒绝执行扣5分</w:t>
            </w:r>
          </w:p>
        </w:tc>
        <w:tc>
          <w:tcPr>
            <w:tcW w:w="850" w:type="dxa"/>
            <w:tcBorders>
              <w:top w:val="nil"/>
              <w:left w:val="nil"/>
              <w:bottom w:val="single" w:color="auto" w:sz="4" w:space="0"/>
              <w:right w:val="single" w:color="auto" w:sz="4" w:space="0"/>
            </w:tcBorders>
            <w:shd w:val="clear" w:color="000000" w:fill="FFFFFF"/>
            <w:vAlign w:val="center"/>
          </w:tcPr>
          <w:p w14:paraId="5D498EFC">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nil"/>
              <w:left w:val="nil"/>
              <w:bottom w:val="single" w:color="auto" w:sz="4" w:space="0"/>
              <w:right w:val="single" w:color="auto" w:sz="4" w:space="0"/>
            </w:tcBorders>
            <w:vAlign w:val="center"/>
          </w:tcPr>
          <w:p w14:paraId="121088B5">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7D99FB68">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4976A443">
        <w:tblPrEx>
          <w:tblCellMar>
            <w:top w:w="0" w:type="dxa"/>
            <w:left w:w="108" w:type="dxa"/>
            <w:bottom w:w="0" w:type="dxa"/>
            <w:right w:w="108" w:type="dxa"/>
          </w:tblCellMar>
        </w:tblPrEx>
        <w:trPr>
          <w:trHeight w:val="615"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4EC6B41B">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1276" w:type="dxa"/>
            <w:tcBorders>
              <w:top w:val="nil"/>
              <w:left w:val="nil"/>
              <w:bottom w:val="single" w:color="auto" w:sz="4" w:space="0"/>
              <w:right w:val="single" w:color="auto" w:sz="4" w:space="0"/>
            </w:tcBorders>
            <w:shd w:val="clear" w:color="auto" w:fill="auto"/>
            <w:vAlign w:val="center"/>
          </w:tcPr>
          <w:p w14:paraId="4AFE32B9">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设备设施管理</w:t>
            </w:r>
          </w:p>
        </w:tc>
        <w:tc>
          <w:tcPr>
            <w:tcW w:w="5387" w:type="dxa"/>
            <w:tcBorders>
              <w:top w:val="nil"/>
              <w:left w:val="nil"/>
              <w:bottom w:val="single" w:color="auto" w:sz="4" w:space="0"/>
              <w:right w:val="single" w:color="auto" w:sz="4" w:space="0"/>
            </w:tcBorders>
            <w:shd w:val="clear" w:color="000000" w:fill="FFFFFF"/>
            <w:vAlign w:val="center"/>
          </w:tcPr>
          <w:p w14:paraId="3FCE487B">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所负责区域的设备设施管理情况（含水电气）按时检查，发现问题未及时上报维修者，每违反一次扣1分</w:t>
            </w:r>
          </w:p>
        </w:tc>
        <w:tc>
          <w:tcPr>
            <w:tcW w:w="850" w:type="dxa"/>
            <w:tcBorders>
              <w:top w:val="nil"/>
              <w:left w:val="nil"/>
              <w:bottom w:val="single" w:color="auto" w:sz="4" w:space="0"/>
              <w:right w:val="single" w:color="auto" w:sz="4" w:space="0"/>
            </w:tcBorders>
            <w:shd w:val="clear" w:color="000000" w:fill="FFFFFF"/>
            <w:vAlign w:val="center"/>
          </w:tcPr>
          <w:p w14:paraId="584D47A6">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nil"/>
              <w:left w:val="nil"/>
              <w:bottom w:val="single" w:color="auto" w:sz="4" w:space="0"/>
              <w:right w:val="single" w:color="auto" w:sz="4" w:space="0"/>
            </w:tcBorders>
            <w:vAlign w:val="center"/>
          </w:tcPr>
          <w:p w14:paraId="7058869B">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302B7FFC">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337B457B">
        <w:tblPrEx>
          <w:tblCellMar>
            <w:top w:w="0" w:type="dxa"/>
            <w:left w:w="108" w:type="dxa"/>
            <w:bottom w:w="0" w:type="dxa"/>
            <w:right w:w="108" w:type="dxa"/>
          </w:tblCellMar>
        </w:tblPrEx>
        <w:trPr>
          <w:trHeight w:val="600" w:hRule="atLeast"/>
          <w:jc w:val="center"/>
        </w:trPr>
        <w:tc>
          <w:tcPr>
            <w:tcW w:w="709" w:type="dxa"/>
            <w:tcBorders>
              <w:top w:val="nil"/>
              <w:left w:val="single" w:color="auto" w:sz="4" w:space="0"/>
              <w:bottom w:val="single" w:color="auto" w:sz="4" w:space="0"/>
              <w:right w:val="single" w:color="auto" w:sz="4" w:space="0"/>
            </w:tcBorders>
            <w:vAlign w:val="center"/>
          </w:tcPr>
          <w:p w14:paraId="156F850C">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1276" w:type="dxa"/>
            <w:tcBorders>
              <w:top w:val="nil"/>
              <w:left w:val="nil"/>
              <w:bottom w:val="single" w:color="auto" w:sz="4" w:space="0"/>
              <w:right w:val="single" w:color="auto" w:sz="4" w:space="0"/>
            </w:tcBorders>
            <w:vAlign w:val="center"/>
          </w:tcPr>
          <w:p w14:paraId="2154955E">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食品安全</w:t>
            </w:r>
          </w:p>
        </w:tc>
        <w:tc>
          <w:tcPr>
            <w:tcW w:w="5387" w:type="dxa"/>
            <w:tcBorders>
              <w:top w:val="nil"/>
              <w:left w:val="nil"/>
              <w:bottom w:val="single" w:color="auto" w:sz="4" w:space="0"/>
              <w:right w:val="single" w:color="auto" w:sz="4" w:space="0"/>
            </w:tcBorders>
            <w:vAlign w:val="center"/>
          </w:tcPr>
          <w:p w14:paraId="3CC6DE3A">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所加工制作的食品应做到无变质腐化等安全问题，每违反一起，扣5分，其他责任根据食品安全法规进行处罚</w:t>
            </w:r>
          </w:p>
        </w:tc>
        <w:tc>
          <w:tcPr>
            <w:tcW w:w="850" w:type="dxa"/>
            <w:tcBorders>
              <w:top w:val="nil"/>
              <w:left w:val="nil"/>
              <w:bottom w:val="single" w:color="auto" w:sz="4" w:space="0"/>
              <w:right w:val="single" w:color="auto" w:sz="4" w:space="0"/>
            </w:tcBorders>
            <w:vAlign w:val="center"/>
          </w:tcPr>
          <w:p w14:paraId="32443186">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851" w:type="dxa"/>
            <w:tcBorders>
              <w:top w:val="nil"/>
              <w:left w:val="nil"/>
              <w:bottom w:val="single" w:color="auto" w:sz="4" w:space="0"/>
              <w:right w:val="single" w:color="auto" w:sz="4" w:space="0"/>
            </w:tcBorders>
            <w:vAlign w:val="center"/>
          </w:tcPr>
          <w:p w14:paraId="68890197">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129530EF">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016819C8">
        <w:tblPrEx>
          <w:tblCellMar>
            <w:top w:w="0" w:type="dxa"/>
            <w:left w:w="108" w:type="dxa"/>
            <w:bottom w:w="0" w:type="dxa"/>
            <w:right w:w="108" w:type="dxa"/>
          </w:tblCellMar>
        </w:tblPrEx>
        <w:trPr>
          <w:trHeight w:val="825"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7A979F58">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p>
        </w:tc>
        <w:tc>
          <w:tcPr>
            <w:tcW w:w="1276" w:type="dxa"/>
            <w:tcBorders>
              <w:top w:val="nil"/>
              <w:left w:val="nil"/>
              <w:bottom w:val="single" w:color="auto" w:sz="4" w:space="0"/>
              <w:right w:val="single" w:color="auto" w:sz="4" w:space="0"/>
            </w:tcBorders>
            <w:shd w:val="clear" w:color="auto" w:fill="auto"/>
            <w:vAlign w:val="center"/>
          </w:tcPr>
          <w:p w14:paraId="45647CC6">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日常事务安排</w:t>
            </w:r>
          </w:p>
        </w:tc>
        <w:tc>
          <w:tcPr>
            <w:tcW w:w="5387" w:type="dxa"/>
            <w:tcBorders>
              <w:top w:val="nil"/>
              <w:left w:val="nil"/>
              <w:bottom w:val="single" w:color="auto" w:sz="4" w:space="0"/>
              <w:right w:val="single" w:color="auto" w:sz="4" w:space="0"/>
            </w:tcBorders>
            <w:shd w:val="clear" w:color="000000" w:fill="FFFFFF"/>
            <w:vAlign w:val="center"/>
          </w:tcPr>
          <w:p w14:paraId="0D364191">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安排处理好食堂日常事务，及时协调解决有关问题，保持良好工作秩序，严抓反对浪费工作，并对食堂人员出现问题负连带责任，未按要求达标者每次扣1分。</w:t>
            </w:r>
          </w:p>
        </w:tc>
        <w:tc>
          <w:tcPr>
            <w:tcW w:w="850" w:type="dxa"/>
            <w:tcBorders>
              <w:top w:val="nil"/>
              <w:left w:val="nil"/>
              <w:bottom w:val="single" w:color="auto" w:sz="4" w:space="0"/>
              <w:right w:val="single" w:color="auto" w:sz="4" w:space="0"/>
            </w:tcBorders>
            <w:shd w:val="clear" w:color="000000" w:fill="FFFFFF"/>
            <w:vAlign w:val="center"/>
          </w:tcPr>
          <w:p w14:paraId="1E3B2647">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nil"/>
              <w:left w:val="nil"/>
              <w:bottom w:val="single" w:color="auto" w:sz="4" w:space="0"/>
              <w:right w:val="single" w:color="auto" w:sz="4" w:space="0"/>
            </w:tcBorders>
            <w:vAlign w:val="center"/>
          </w:tcPr>
          <w:p w14:paraId="36602D6C">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5C61648A">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6B552F9C">
        <w:tblPrEx>
          <w:tblCellMar>
            <w:top w:w="0" w:type="dxa"/>
            <w:left w:w="108" w:type="dxa"/>
            <w:bottom w:w="0" w:type="dxa"/>
            <w:right w:w="108" w:type="dxa"/>
          </w:tblCellMar>
        </w:tblPrEx>
        <w:trPr>
          <w:trHeight w:val="570"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0BB3F1F8">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8</w:t>
            </w:r>
          </w:p>
        </w:tc>
        <w:tc>
          <w:tcPr>
            <w:tcW w:w="1276" w:type="dxa"/>
            <w:tcBorders>
              <w:top w:val="nil"/>
              <w:left w:val="nil"/>
              <w:bottom w:val="single" w:color="auto" w:sz="4" w:space="0"/>
              <w:right w:val="single" w:color="auto" w:sz="4" w:space="0"/>
            </w:tcBorders>
            <w:shd w:val="clear" w:color="auto" w:fill="auto"/>
            <w:vAlign w:val="center"/>
          </w:tcPr>
          <w:p w14:paraId="011502BC">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刷脸监督</w:t>
            </w:r>
          </w:p>
        </w:tc>
        <w:tc>
          <w:tcPr>
            <w:tcW w:w="5387" w:type="dxa"/>
            <w:tcBorders>
              <w:top w:val="nil"/>
              <w:left w:val="nil"/>
              <w:bottom w:val="single" w:color="auto" w:sz="4" w:space="0"/>
              <w:right w:val="single" w:color="auto" w:sz="4" w:space="0"/>
            </w:tcBorders>
            <w:shd w:val="clear" w:color="000000" w:fill="FFFFFF"/>
            <w:vAlign w:val="center"/>
          </w:tcPr>
          <w:p w14:paraId="52A63F6B">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在就餐中，必须按要求对刷脸及收取餐劵严格监督，按照一脸一餐具发放，未按要求执行，每次扣1分</w:t>
            </w:r>
          </w:p>
        </w:tc>
        <w:tc>
          <w:tcPr>
            <w:tcW w:w="850" w:type="dxa"/>
            <w:tcBorders>
              <w:top w:val="nil"/>
              <w:left w:val="nil"/>
              <w:bottom w:val="single" w:color="auto" w:sz="4" w:space="0"/>
              <w:right w:val="single" w:color="auto" w:sz="4" w:space="0"/>
            </w:tcBorders>
            <w:shd w:val="clear" w:color="000000" w:fill="FFFFFF"/>
            <w:vAlign w:val="center"/>
          </w:tcPr>
          <w:p w14:paraId="04C0F6E1">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nil"/>
              <w:left w:val="nil"/>
              <w:bottom w:val="single" w:color="auto" w:sz="4" w:space="0"/>
              <w:right w:val="single" w:color="auto" w:sz="4" w:space="0"/>
            </w:tcBorders>
            <w:vAlign w:val="center"/>
          </w:tcPr>
          <w:p w14:paraId="794C308E">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2E8C2107">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308EC8B0">
        <w:tblPrEx>
          <w:tblCellMar>
            <w:top w:w="0" w:type="dxa"/>
            <w:left w:w="108" w:type="dxa"/>
            <w:bottom w:w="0" w:type="dxa"/>
            <w:right w:w="108" w:type="dxa"/>
          </w:tblCellMar>
        </w:tblPrEx>
        <w:trPr>
          <w:trHeight w:val="990"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7B951B61">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9</w:t>
            </w:r>
          </w:p>
        </w:tc>
        <w:tc>
          <w:tcPr>
            <w:tcW w:w="1276" w:type="dxa"/>
            <w:tcBorders>
              <w:top w:val="nil"/>
              <w:left w:val="nil"/>
              <w:bottom w:val="single" w:color="auto" w:sz="4" w:space="0"/>
              <w:right w:val="single" w:color="auto" w:sz="4" w:space="0"/>
            </w:tcBorders>
            <w:shd w:val="clear" w:color="auto" w:fill="auto"/>
            <w:vAlign w:val="center"/>
          </w:tcPr>
          <w:p w14:paraId="31F379DF">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菜品质量</w:t>
            </w:r>
          </w:p>
        </w:tc>
        <w:tc>
          <w:tcPr>
            <w:tcW w:w="5387" w:type="dxa"/>
            <w:tcBorders>
              <w:top w:val="nil"/>
              <w:left w:val="nil"/>
              <w:bottom w:val="single" w:color="auto" w:sz="4" w:space="0"/>
              <w:right w:val="single" w:color="auto" w:sz="4" w:space="0"/>
            </w:tcBorders>
            <w:shd w:val="clear" w:color="000000" w:fill="FFFFFF"/>
            <w:vAlign w:val="center"/>
          </w:tcPr>
          <w:p w14:paraId="31BB349C">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严格按照办公室提供的菜谱进行制作，注意菜品在色、香、味及营养上有机结合，严防菜品粗加工和制作过程的浪费现象，非特殊原因，未按菜谱落实的，每有一道菜扣1分，造成浪费的，每次扣2分。</w:t>
            </w:r>
          </w:p>
        </w:tc>
        <w:tc>
          <w:tcPr>
            <w:tcW w:w="850" w:type="dxa"/>
            <w:tcBorders>
              <w:top w:val="nil"/>
              <w:left w:val="nil"/>
              <w:bottom w:val="single" w:color="auto" w:sz="4" w:space="0"/>
              <w:right w:val="single" w:color="auto" w:sz="4" w:space="0"/>
            </w:tcBorders>
            <w:shd w:val="clear" w:color="000000" w:fill="FFFFFF"/>
            <w:vAlign w:val="center"/>
          </w:tcPr>
          <w:p w14:paraId="2B1CBA4B">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851" w:type="dxa"/>
            <w:tcBorders>
              <w:top w:val="nil"/>
              <w:left w:val="nil"/>
              <w:bottom w:val="single" w:color="auto" w:sz="4" w:space="0"/>
              <w:right w:val="single" w:color="auto" w:sz="4" w:space="0"/>
            </w:tcBorders>
            <w:vAlign w:val="center"/>
          </w:tcPr>
          <w:p w14:paraId="07A8D8AE">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58EE0A97">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69D46CF6">
        <w:tblPrEx>
          <w:tblCellMar>
            <w:top w:w="0" w:type="dxa"/>
            <w:left w:w="108" w:type="dxa"/>
            <w:bottom w:w="0" w:type="dxa"/>
            <w:right w:w="108" w:type="dxa"/>
          </w:tblCellMar>
        </w:tblPrEx>
        <w:trPr>
          <w:trHeight w:val="615"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006D7622">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1276" w:type="dxa"/>
            <w:tcBorders>
              <w:top w:val="nil"/>
              <w:left w:val="nil"/>
              <w:bottom w:val="single" w:color="auto" w:sz="4" w:space="0"/>
              <w:right w:val="single" w:color="auto" w:sz="4" w:space="0"/>
            </w:tcBorders>
            <w:shd w:val="clear" w:color="auto" w:fill="auto"/>
            <w:vAlign w:val="center"/>
          </w:tcPr>
          <w:p w14:paraId="45D8B92A">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食品留样</w:t>
            </w:r>
          </w:p>
        </w:tc>
        <w:tc>
          <w:tcPr>
            <w:tcW w:w="5387" w:type="dxa"/>
            <w:tcBorders>
              <w:top w:val="nil"/>
              <w:left w:val="nil"/>
              <w:bottom w:val="single" w:color="auto" w:sz="4" w:space="0"/>
              <w:right w:val="single" w:color="auto" w:sz="4" w:space="0"/>
            </w:tcBorders>
            <w:shd w:val="clear" w:color="000000" w:fill="FFFFFF"/>
            <w:vAlign w:val="center"/>
          </w:tcPr>
          <w:p w14:paraId="18BEACD5">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严格按照食品留样标准每天进行食品留样，并做好台账登记，未按要求执行每次扣1分。</w:t>
            </w:r>
          </w:p>
        </w:tc>
        <w:tc>
          <w:tcPr>
            <w:tcW w:w="850" w:type="dxa"/>
            <w:tcBorders>
              <w:top w:val="nil"/>
              <w:left w:val="nil"/>
              <w:bottom w:val="single" w:color="auto" w:sz="4" w:space="0"/>
              <w:right w:val="single" w:color="auto" w:sz="4" w:space="0"/>
            </w:tcBorders>
            <w:shd w:val="clear" w:color="000000" w:fill="FFFFFF"/>
            <w:vAlign w:val="center"/>
          </w:tcPr>
          <w:p w14:paraId="34B00708">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nil"/>
              <w:left w:val="nil"/>
              <w:bottom w:val="single" w:color="auto" w:sz="4" w:space="0"/>
              <w:right w:val="single" w:color="auto" w:sz="4" w:space="0"/>
            </w:tcBorders>
            <w:vAlign w:val="center"/>
          </w:tcPr>
          <w:p w14:paraId="6694888E">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324889DC">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12810B8A">
        <w:tblPrEx>
          <w:tblCellMar>
            <w:top w:w="0" w:type="dxa"/>
            <w:left w:w="108" w:type="dxa"/>
            <w:bottom w:w="0" w:type="dxa"/>
            <w:right w:w="108" w:type="dxa"/>
          </w:tblCellMar>
        </w:tblPrEx>
        <w:trPr>
          <w:trHeight w:val="735"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4B7C8716">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11</w:t>
            </w:r>
          </w:p>
        </w:tc>
        <w:tc>
          <w:tcPr>
            <w:tcW w:w="1276" w:type="dxa"/>
            <w:tcBorders>
              <w:top w:val="nil"/>
              <w:left w:val="nil"/>
              <w:bottom w:val="single" w:color="auto" w:sz="4" w:space="0"/>
              <w:right w:val="single" w:color="auto" w:sz="4" w:space="0"/>
            </w:tcBorders>
            <w:shd w:val="clear" w:color="auto" w:fill="auto"/>
            <w:vAlign w:val="center"/>
          </w:tcPr>
          <w:p w14:paraId="013F60AF">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菜式创新</w:t>
            </w:r>
          </w:p>
        </w:tc>
        <w:tc>
          <w:tcPr>
            <w:tcW w:w="5387" w:type="dxa"/>
            <w:tcBorders>
              <w:top w:val="nil"/>
              <w:left w:val="nil"/>
              <w:bottom w:val="single" w:color="auto" w:sz="4" w:space="0"/>
              <w:right w:val="single" w:color="auto" w:sz="4" w:space="0"/>
            </w:tcBorders>
            <w:shd w:val="clear" w:color="000000" w:fill="FFFFFF"/>
            <w:vAlign w:val="center"/>
          </w:tcPr>
          <w:p w14:paraId="692DB886">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在菜式创新上应做到与相关人员进行讨论，每月每人务必推出2个新菜，未按要求执行，每次扣1分</w:t>
            </w:r>
          </w:p>
        </w:tc>
        <w:tc>
          <w:tcPr>
            <w:tcW w:w="850" w:type="dxa"/>
            <w:tcBorders>
              <w:top w:val="nil"/>
              <w:left w:val="nil"/>
              <w:bottom w:val="single" w:color="auto" w:sz="4" w:space="0"/>
              <w:right w:val="single" w:color="auto" w:sz="4" w:space="0"/>
            </w:tcBorders>
            <w:shd w:val="clear" w:color="000000" w:fill="FFFFFF"/>
            <w:vAlign w:val="center"/>
          </w:tcPr>
          <w:p w14:paraId="231D910F">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nil"/>
              <w:left w:val="nil"/>
              <w:bottom w:val="single" w:color="auto" w:sz="4" w:space="0"/>
              <w:right w:val="single" w:color="auto" w:sz="4" w:space="0"/>
            </w:tcBorders>
            <w:vAlign w:val="center"/>
          </w:tcPr>
          <w:p w14:paraId="2B4509CD">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381F8F23">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6B72D4F7">
        <w:tblPrEx>
          <w:tblCellMar>
            <w:top w:w="0" w:type="dxa"/>
            <w:left w:w="108" w:type="dxa"/>
            <w:bottom w:w="0" w:type="dxa"/>
            <w:right w:w="108" w:type="dxa"/>
          </w:tblCellMar>
        </w:tblPrEx>
        <w:trPr>
          <w:trHeight w:val="975"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251ED3EA">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12</w:t>
            </w:r>
          </w:p>
        </w:tc>
        <w:tc>
          <w:tcPr>
            <w:tcW w:w="1276" w:type="dxa"/>
            <w:tcBorders>
              <w:top w:val="nil"/>
              <w:left w:val="nil"/>
              <w:bottom w:val="single" w:color="auto" w:sz="4" w:space="0"/>
              <w:right w:val="single" w:color="auto" w:sz="4" w:space="0"/>
            </w:tcBorders>
            <w:shd w:val="clear" w:color="auto" w:fill="auto"/>
            <w:vAlign w:val="center"/>
          </w:tcPr>
          <w:p w14:paraId="507340E0">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摘菜、洗菜、传菜</w:t>
            </w:r>
          </w:p>
        </w:tc>
        <w:tc>
          <w:tcPr>
            <w:tcW w:w="5387" w:type="dxa"/>
            <w:tcBorders>
              <w:top w:val="nil"/>
              <w:left w:val="nil"/>
              <w:bottom w:val="single" w:color="auto" w:sz="4" w:space="0"/>
              <w:right w:val="single" w:color="auto" w:sz="4" w:space="0"/>
            </w:tcBorders>
            <w:shd w:val="clear" w:color="000000" w:fill="FFFFFF"/>
            <w:vAlign w:val="center"/>
          </w:tcPr>
          <w:p w14:paraId="66D2F876">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摘菜、洗菜、传菜、蒸饭要及时，确保食物的正常供应；蔬菜的清洗应做到无泥沙杂质、无枯萎黄叶，菜品粗加工和清洗阶段都要严防浪费现象，未按要求执行，每次扣1分。</w:t>
            </w:r>
          </w:p>
        </w:tc>
        <w:tc>
          <w:tcPr>
            <w:tcW w:w="850" w:type="dxa"/>
            <w:tcBorders>
              <w:top w:val="nil"/>
              <w:left w:val="nil"/>
              <w:bottom w:val="single" w:color="auto" w:sz="4" w:space="0"/>
              <w:right w:val="single" w:color="auto" w:sz="4" w:space="0"/>
            </w:tcBorders>
            <w:shd w:val="clear" w:color="000000" w:fill="FFFFFF"/>
            <w:vAlign w:val="center"/>
          </w:tcPr>
          <w:p w14:paraId="20973625">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nil"/>
              <w:left w:val="nil"/>
              <w:bottom w:val="single" w:color="auto" w:sz="4" w:space="0"/>
              <w:right w:val="single" w:color="auto" w:sz="4" w:space="0"/>
            </w:tcBorders>
            <w:vAlign w:val="center"/>
          </w:tcPr>
          <w:p w14:paraId="64303D91">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747C77B9">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61AC393F">
        <w:tblPrEx>
          <w:tblCellMar>
            <w:top w:w="0" w:type="dxa"/>
            <w:left w:w="108" w:type="dxa"/>
            <w:bottom w:w="0" w:type="dxa"/>
            <w:right w:w="108" w:type="dxa"/>
          </w:tblCellMar>
        </w:tblPrEx>
        <w:trPr>
          <w:trHeight w:val="303"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4E6594DB">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13</w:t>
            </w:r>
          </w:p>
        </w:tc>
        <w:tc>
          <w:tcPr>
            <w:tcW w:w="1276" w:type="dxa"/>
            <w:tcBorders>
              <w:top w:val="single" w:color="auto" w:sz="4" w:space="0"/>
              <w:left w:val="nil"/>
              <w:bottom w:val="single" w:color="auto" w:sz="4" w:space="0"/>
              <w:right w:val="single" w:color="auto" w:sz="4" w:space="0"/>
            </w:tcBorders>
            <w:shd w:val="clear" w:color="auto" w:fill="auto"/>
            <w:vAlign w:val="center"/>
          </w:tcPr>
          <w:p w14:paraId="255962BA">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餐具清洗消毒</w:t>
            </w:r>
          </w:p>
        </w:tc>
        <w:tc>
          <w:tcPr>
            <w:tcW w:w="5387" w:type="dxa"/>
            <w:tcBorders>
              <w:top w:val="single" w:color="auto" w:sz="4" w:space="0"/>
              <w:left w:val="nil"/>
              <w:bottom w:val="single" w:color="auto" w:sz="4" w:space="0"/>
              <w:right w:val="single" w:color="auto" w:sz="4" w:space="0"/>
            </w:tcBorders>
            <w:shd w:val="clear" w:color="000000" w:fill="FFFFFF"/>
            <w:vAlign w:val="center"/>
          </w:tcPr>
          <w:p w14:paraId="40FEA4D4">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餐具要保证干净，无破损，餐具消毒前未用洁净抹布擦干，餐具不干净、有破损现象、有滴水现象，消毒未达到规定时间就取出使用及未按要求登记消毒时间记录，每违反一次扣1分,不爱惜餐具，人为造成大量破损的，每次扣2分。</w:t>
            </w:r>
          </w:p>
        </w:tc>
        <w:tc>
          <w:tcPr>
            <w:tcW w:w="850" w:type="dxa"/>
            <w:tcBorders>
              <w:top w:val="single" w:color="auto" w:sz="4" w:space="0"/>
              <w:left w:val="nil"/>
              <w:bottom w:val="single" w:color="auto" w:sz="4" w:space="0"/>
              <w:right w:val="single" w:color="auto" w:sz="4" w:space="0"/>
            </w:tcBorders>
            <w:shd w:val="clear" w:color="000000" w:fill="FFFFFF"/>
            <w:vAlign w:val="center"/>
          </w:tcPr>
          <w:p w14:paraId="5FC0491E">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single" w:color="auto" w:sz="4" w:space="0"/>
              <w:left w:val="nil"/>
              <w:bottom w:val="single" w:color="auto" w:sz="4" w:space="0"/>
              <w:right w:val="single" w:color="auto" w:sz="4" w:space="0"/>
            </w:tcBorders>
            <w:vAlign w:val="center"/>
          </w:tcPr>
          <w:p w14:paraId="4C46ABA7">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single" w:color="auto" w:sz="4" w:space="0"/>
              <w:left w:val="nil"/>
              <w:bottom w:val="single" w:color="auto" w:sz="4" w:space="0"/>
              <w:right w:val="single" w:color="auto" w:sz="4" w:space="0"/>
            </w:tcBorders>
            <w:vAlign w:val="center"/>
          </w:tcPr>
          <w:p w14:paraId="1C4169AD">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349ADD57">
        <w:tblPrEx>
          <w:tblCellMar>
            <w:top w:w="0" w:type="dxa"/>
            <w:left w:w="108" w:type="dxa"/>
            <w:bottom w:w="0" w:type="dxa"/>
            <w:right w:w="108" w:type="dxa"/>
          </w:tblCellMar>
        </w:tblPrEx>
        <w:trPr>
          <w:trHeight w:val="885"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00C50255">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14</w:t>
            </w:r>
          </w:p>
        </w:tc>
        <w:tc>
          <w:tcPr>
            <w:tcW w:w="1276" w:type="dxa"/>
            <w:tcBorders>
              <w:top w:val="single" w:color="auto" w:sz="4" w:space="0"/>
              <w:left w:val="nil"/>
              <w:bottom w:val="single" w:color="auto" w:sz="4" w:space="0"/>
              <w:right w:val="single" w:color="auto" w:sz="4" w:space="0"/>
            </w:tcBorders>
            <w:shd w:val="clear" w:color="auto" w:fill="auto"/>
            <w:vAlign w:val="center"/>
          </w:tcPr>
          <w:p w14:paraId="01813C39">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面点制作</w:t>
            </w:r>
          </w:p>
        </w:tc>
        <w:tc>
          <w:tcPr>
            <w:tcW w:w="5387" w:type="dxa"/>
            <w:tcBorders>
              <w:top w:val="single" w:color="auto" w:sz="4" w:space="0"/>
              <w:left w:val="nil"/>
              <w:bottom w:val="single" w:color="auto" w:sz="4" w:space="0"/>
              <w:right w:val="single" w:color="auto" w:sz="4" w:space="0"/>
            </w:tcBorders>
            <w:shd w:val="clear" w:color="000000" w:fill="FFFFFF"/>
            <w:vAlign w:val="center"/>
          </w:tcPr>
          <w:p w14:paraId="56E286E7">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每周早餐应做到有5个以上自制特色糕点，在色、香、味上得到就餐人员相应的肯定，果盘制作搭配合理、美观，同时严防浪费，未按要求执行，每次扣1分</w:t>
            </w:r>
          </w:p>
        </w:tc>
        <w:tc>
          <w:tcPr>
            <w:tcW w:w="850" w:type="dxa"/>
            <w:tcBorders>
              <w:top w:val="single" w:color="auto" w:sz="4" w:space="0"/>
              <w:left w:val="nil"/>
              <w:bottom w:val="single" w:color="auto" w:sz="4" w:space="0"/>
              <w:right w:val="single" w:color="auto" w:sz="4" w:space="0"/>
            </w:tcBorders>
            <w:shd w:val="clear" w:color="000000" w:fill="FFFFFF"/>
            <w:vAlign w:val="center"/>
          </w:tcPr>
          <w:p w14:paraId="7DBA92E1">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single" w:color="auto" w:sz="4" w:space="0"/>
              <w:left w:val="nil"/>
              <w:bottom w:val="single" w:color="auto" w:sz="4" w:space="0"/>
              <w:right w:val="single" w:color="auto" w:sz="4" w:space="0"/>
            </w:tcBorders>
            <w:vAlign w:val="center"/>
          </w:tcPr>
          <w:p w14:paraId="148B5847">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single" w:color="auto" w:sz="4" w:space="0"/>
              <w:left w:val="nil"/>
              <w:bottom w:val="single" w:color="auto" w:sz="4" w:space="0"/>
              <w:right w:val="single" w:color="auto" w:sz="4" w:space="0"/>
            </w:tcBorders>
            <w:vAlign w:val="center"/>
          </w:tcPr>
          <w:p w14:paraId="7ECA399E">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1F984237">
        <w:tblPrEx>
          <w:tblCellMar>
            <w:top w:w="0" w:type="dxa"/>
            <w:left w:w="108" w:type="dxa"/>
            <w:bottom w:w="0" w:type="dxa"/>
            <w:right w:w="108" w:type="dxa"/>
          </w:tblCellMar>
        </w:tblPrEx>
        <w:trPr>
          <w:trHeight w:val="1740"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6D6E5A9D">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15</w:t>
            </w:r>
          </w:p>
        </w:tc>
        <w:tc>
          <w:tcPr>
            <w:tcW w:w="1276" w:type="dxa"/>
            <w:tcBorders>
              <w:top w:val="nil"/>
              <w:left w:val="nil"/>
              <w:bottom w:val="single" w:color="auto" w:sz="4" w:space="0"/>
              <w:right w:val="single" w:color="auto" w:sz="4" w:space="0"/>
            </w:tcBorders>
            <w:shd w:val="clear" w:color="auto" w:fill="auto"/>
            <w:vAlign w:val="center"/>
          </w:tcPr>
          <w:p w14:paraId="53BD5D3F">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物资管理</w:t>
            </w:r>
          </w:p>
        </w:tc>
        <w:tc>
          <w:tcPr>
            <w:tcW w:w="5387" w:type="dxa"/>
            <w:tcBorders>
              <w:top w:val="nil"/>
              <w:left w:val="nil"/>
              <w:bottom w:val="single" w:color="auto" w:sz="4" w:space="0"/>
              <w:right w:val="single" w:color="auto" w:sz="4" w:space="0"/>
            </w:tcBorders>
            <w:shd w:val="clear" w:color="000000" w:fill="FFFFFF"/>
            <w:vAlign w:val="center"/>
          </w:tcPr>
          <w:p w14:paraId="5F22C5BF">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食堂相关易耗品的添置需求应做到准确、及时，并且严格控制使用，防止浪费，对原料的品质、纯度、成熟度、新鲜度，以及原料的清洁卫生等应严格把好质量关，做好入库登记，库房原料实行先进后出制，领料人必须填写发货单，双方确认无误后签字，不得弄虚作假，每违反一次扣1分。</w:t>
            </w:r>
          </w:p>
        </w:tc>
        <w:tc>
          <w:tcPr>
            <w:tcW w:w="850" w:type="dxa"/>
            <w:tcBorders>
              <w:top w:val="nil"/>
              <w:left w:val="nil"/>
              <w:bottom w:val="single" w:color="auto" w:sz="4" w:space="0"/>
              <w:right w:val="single" w:color="auto" w:sz="4" w:space="0"/>
            </w:tcBorders>
            <w:shd w:val="clear" w:color="000000" w:fill="FFFFFF"/>
            <w:vAlign w:val="center"/>
          </w:tcPr>
          <w:p w14:paraId="6B615E6C">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nil"/>
              <w:left w:val="nil"/>
              <w:bottom w:val="single" w:color="auto" w:sz="4" w:space="0"/>
              <w:right w:val="single" w:color="auto" w:sz="4" w:space="0"/>
            </w:tcBorders>
            <w:vAlign w:val="center"/>
          </w:tcPr>
          <w:p w14:paraId="6EBC04F9">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289B9E7B">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6595286C">
        <w:tblPrEx>
          <w:tblCellMar>
            <w:top w:w="0" w:type="dxa"/>
            <w:left w:w="108" w:type="dxa"/>
            <w:bottom w:w="0" w:type="dxa"/>
            <w:right w:w="108" w:type="dxa"/>
          </w:tblCellMar>
        </w:tblPrEx>
        <w:trPr>
          <w:trHeight w:val="558"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495DB850">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16</w:t>
            </w:r>
          </w:p>
        </w:tc>
        <w:tc>
          <w:tcPr>
            <w:tcW w:w="1276" w:type="dxa"/>
            <w:tcBorders>
              <w:top w:val="nil"/>
              <w:left w:val="nil"/>
              <w:bottom w:val="single" w:color="auto" w:sz="4" w:space="0"/>
              <w:right w:val="single" w:color="auto" w:sz="4" w:space="0"/>
            </w:tcBorders>
            <w:shd w:val="clear" w:color="auto" w:fill="auto"/>
            <w:vAlign w:val="center"/>
          </w:tcPr>
          <w:p w14:paraId="52787381">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餐厅服务</w:t>
            </w:r>
          </w:p>
        </w:tc>
        <w:tc>
          <w:tcPr>
            <w:tcW w:w="5387" w:type="dxa"/>
            <w:tcBorders>
              <w:top w:val="nil"/>
              <w:left w:val="nil"/>
              <w:bottom w:val="single" w:color="auto" w:sz="4" w:space="0"/>
              <w:right w:val="single" w:color="auto" w:sz="4" w:space="0"/>
            </w:tcBorders>
            <w:shd w:val="clear" w:color="000000" w:fill="FFFFFF"/>
            <w:vAlign w:val="center"/>
          </w:tcPr>
          <w:p w14:paraId="5ED21DE2">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开餐前物品摆放，餐桌摆台等及时规范，餐中服务：礼仪规范、服务准确；餐后工作：及时和就餐人员核对账单，每月30日前将本月就餐报表报到甲方处、根据卫生标准彻底清理餐厅并做好下次用餐的准备工作。未达到要求每一次扣1分；</w:t>
            </w:r>
          </w:p>
        </w:tc>
        <w:tc>
          <w:tcPr>
            <w:tcW w:w="850" w:type="dxa"/>
            <w:tcBorders>
              <w:top w:val="nil"/>
              <w:left w:val="nil"/>
              <w:bottom w:val="single" w:color="auto" w:sz="4" w:space="0"/>
              <w:right w:val="single" w:color="auto" w:sz="4" w:space="0"/>
            </w:tcBorders>
            <w:shd w:val="clear" w:color="000000" w:fill="FFFFFF"/>
            <w:vAlign w:val="center"/>
          </w:tcPr>
          <w:p w14:paraId="4680636B">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851" w:type="dxa"/>
            <w:tcBorders>
              <w:top w:val="nil"/>
              <w:left w:val="nil"/>
              <w:bottom w:val="single" w:color="auto" w:sz="4" w:space="0"/>
              <w:right w:val="single" w:color="auto" w:sz="4" w:space="0"/>
            </w:tcBorders>
            <w:vAlign w:val="center"/>
          </w:tcPr>
          <w:p w14:paraId="4542F6E5">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4E85268D">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0C302461">
        <w:tblPrEx>
          <w:tblCellMar>
            <w:top w:w="0" w:type="dxa"/>
            <w:left w:w="108" w:type="dxa"/>
            <w:bottom w:w="0" w:type="dxa"/>
            <w:right w:w="108" w:type="dxa"/>
          </w:tblCellMar>
        </w:tblPrEx>
        <w:trPr>
          <w:trHeight w:val="930"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1B619ABE">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17</w:t>
            </w:r>
          </w:p>
        </w:tc>
        <w:tc>
          <w:tcPr>
            <w:tcW w:w="1276" w:type="dxa"/>
            <w:tcBorders>
              <w:top w:val="nil"/>
              <w:left w:val="nil"/>
              <w:bottom w:val="single" w:color="auto" w:sz="4" w:space="0"/>
              <w:right w:val="single" w:color="auto" w:sz="4" w:space="0"/>
            </w:tcBorders>
            <w:shd w:val="clear" w:color="auto" w:fill="auto"/>
            <w:vAlign w:val="center"/>
          </w:tcPr>
          <w:p w14:paraId="53C42AAD">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相关工作</w:t>
            </w:r>
          </w:p>
        </w:tc>
        <w:tc>
          <w:tcPr>
            <w:tcW w:w="5387" w:type="dxa"/>
            <w:tcBorders>
              <w:top w:val="nil"/>
              <w:left w:val="nil"/>
              <w:bottom w:val="single" w:color="auto" w:sz="4" w:space="0"/>
              <w:right w:val="single" w:color="auto" w:sz="4" w:space="0"/>
            </w:tcBorders>
            <w:shd w:val="clear" w:color="000000" w:fill="FFFFFF"/>
            <w:vAlign w:val="center"/>
          </w:tcPr>
          <w:p w14:paraId="6989471C">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做好区机关事务管理局的检查和创文创卫等相关工作，未按要求落实的，每次扣1分。</w:t>
            </w:r>
          </w:p>
        </w:tc>
        <w:tc>
          <w:tcPr>
            <w:tcW w:w="850" w:type="dxa"/>
            <w:tcBorders>
              <w:top w:val="nil"/>
              <w:left w:val="nil"/>
              <w:bottom w:val="single" w:color="auto" w:sz="4" w:space="0"/>
              <w:right w:val="single" w:color="auto" w:sz="4" w:space="0"/>
            </w:tcBorders>
            <w:shd w:val="clear" w:color="000000" w:fill="FFFFFF"/>
            <w:vAlign w:val="center"/>
          </w:tcPr>
          <w:p w14:paraId="47F66DD8">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51" w:type="dxa"/>
            <w:tcBorders>
              <w:top w:val="nil"/>
              <w:left w:val="nil"/>
              <w:bottom w:val="single" w:color="auto" w:sz="4" w:space="0"/>
              <w:right w:val="single" w:color="auto" w:sz="4" w:space="0"/>
            </w:tcBorders>
            <w:vAlign w:val="center"/>
          </w:tcPr>
          <w:p w14:paraId="1DEF8717">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2D7CACF7">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0B324BFD">
        <w:tblPrEx>
          <w:tblCellMar>
            <w:top w:w="0" w:type="dxa"/>
            <w:left w:w="108" w:type="dxa"/>
            <w:bottom w:w="0" w:type="dxa"/>
            <w:right w:w="108" w:type="dxa"/>
          </w:tblCellMar>
        </w:tblPrEx>
        <w:trPr>
          <w:trHeight w:val="493" w:hRule="atLeast"/>
          <w:jc w:val="center"/>
        </w:trPr>
        <w:tc>
          <w:tcPr>
            <w:tcW w:w="737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D9AC8EA">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合计</w:t>
            </w:r>
          </w:p>
        </w:tc>
        <w:tc>
          <w:tcPr>
            <w:tcW w:w="850" w:type="dxa"/>
            <w:tcBorders>
              <w:top w:val="nil"/>
              <w:left w:val="nil"/>
              <w:bottom w:val="single" w:color="auto" w:sz="4" w:space="0"/>
              <w:right w:val="single" w:color="auto" w:sz="4" w:space="0"/>
            </w:tcBorders>
            <w:shd w:val="clear" w:color="000000" w:fill="FFFFFF"/>
            <w:vAlign w:val="center"/>
          </w:tcPr>
          <w:p w14:paraId="16538D1E">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100</w:t>
            </w:r>
          </w:p>
        </w:tc>
        <w:tc>
          <w:tcPr>
            <w:tcW w:w="851" w:type="dxa"/>
            <w:tcBorders>
              <w:top w:val="nil"/>
              <w:left w:val="nil"/>
              <w:bottom w:val="single" w:color="auto" w:sz="4" w:space="0"/>
              <w:right w:val="single" w:color="auto" w:sz="4" w:space="0"/>
            </w:tcBorders>
            <w:vAlign w:val="center"/>
          </w:tcPr>
          <w:p w14:paraId="22871571">
            <w:pPr>
              <w:widowControl/>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p>
        </w:tc>
        <w:tc>
          <w:tcPr>
            <w:tcW w:w="850" w:type="dxa"/>
            <w:tcBorders>
              <w:top w:val="nil"/>
              <w:left w:val="nil"/>
              <w:bottom w:val="single" w:color="auto" w:sz="4" w:space="0"/>
              <w:right w:val="single" w:color="auto" w:sz="4" w:space="0"/>
            </w:tcBorders>
            <w:vAlign w:val="center"/>
          </w:tcPr>
          <w:p w14:paraId="5806ADD1">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p>
        </w:tc>
      </w:tr>
      <w:tr w14:paraId="717DCC20">
        <w:tblPrEx>
          <w:tblCellMar>
            <w:top w:w="0" w:type="dxa"/>
            <w:left w:w="108" w:type="dxa"/>
            <w:bottom w:w="0" w:type="dxa"/>
            <w:right w:w="108" w:type="dxa"/>
          </w:tblCellMar>
        </w:tblPrEx>
        <w:trPr>
          <w:trHeight w:val="601" w:hRule="atLeast"/>
          <w:jc w:val="center"/>
        </w:trPr>
        <w:tc>
          <w:tcPr>
            <w:tcW w:w="9923" w:type="dxa"/>
            <w:gridSpan w:val="6"/>
            <w:tcBorders>
              <w:top w:val="single" w:color="auto" w:sz="4" w:space="0"/>
              <w:left w:val="single" w:color="auto" w:sz="4" w:space="0"/>
              <w:bottom w:val="single" w:color="auto" w:sz="4" w:space="0"/>
              <w:right w:val="single" w:color="000000" w:sz="4" w:space="0"/>
            </w:tcBorders>
            <w:vAlign w:val="center"/>
          </w:tcPr>
          <w:p w14:paraId="4C3B3591">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被考核人签名：                    项目分管人员签名：                 负责人签名：</w:t>
            </w:r>
          </w:p>
        </w:tc>
      </w:tr>
    </w:tbl>
    <w:p w14:paraId="3D927424">
      <w:pPr>
        <w:spacing w:line="440" w:lineRule="exact"/>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五、其他要求</w:t>
      </w:r>
    </w:p>
    <w:p w14:paraId="63572343">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1.供应商拟报本项目人员不得私自更换，如更换需经采购人同意。若私自更换人员或发现供应商人员存在违规违纪行为的，采购人有权对供应商做出警告、责令整改、赔偿损失、限期调离当事人等决定。</w:t>
      </w:r>
    </w:p>
    <w:p w14:paraId="0D555497">
      <w:pPr>
        <w:spacing w:line="440" w:lineRule="exact"/>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2.供应商应具备食堂的日常服务接待、运行管理由供应商负责，项目负责人由供应商委派，管理、服务团队的组建由供应商负责，管理骨干和员工等由供应商根据项目需求人数进行配备。</w:t>
      </w:r>
      <w:r>
        <w:rPr>
          <w:rFonts w:hint="eastAsia" w:ascii="宋体" w:hAnsi="宋体" w:eastAsia="宋体" w:cs="宋体"/>
          <w:b/>
          <w:color w:val="auto"/>
          <w:sz w:val="24"/>
          <w:highlight w:val="none"/>
        </w:rPr>
        <w:t>服务期间，</w:t>
      </w:r>
      <w:r>
        <w:rPr>
          <w:rFonts w:hint="eastAsia" w:ascii="宋体" w:hAnsi="宋体" w:eastAsia="宋体" w:cs="宋体"/>
          <w:color w:val="auto"/>
          <w:sz w:val="24"/>
          <w:highlight w:val="none"/>
        </w:rPr>
        <w:t>供应商</w:t>
      </w:r>
      <w:r>
        <w:rPr>
          <w:rFonts w:hint="eastAsia" w:ascii="宋体" w:hAnsi="宋体" w:eastAsia="宋体" w:cs="宋体"/>
          <w:b/>
          <w:color w:val="auto"/>
          <w:sz w:val="24"/>
          <w:highlight w:val="none"/>
        </w:rPr>
        <w:t>应当按照国家有关规定为相关员工支付工资、加班费、社保等（所有人事关系、工资、加班费、社保等均与采购人无关，由供应商一方负责）。</w:t>
      </w:r>
    </w:p>
    <w:p w14:paraId="256E87D1">
      <w:pPr>
        <w:spacing w:line="440" w:lineRule="exact"/>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3.投标报价采用总承包方式，供应商所报价格除食材外应包括（但不限于）服务人员的工资、社会保险费(五险)、节假日加班费、福利费、现场管理费、税金、不可预见费等所需的全部费用的价格体现，凡漏项少计均视为优惠，采购人不另行增加费用。各类风险和政策性调整等风险已包括在投标报价中，最终结算时除合同约定调整外一律不予结算。（双方根据实际情况进行相应调整）</w:t>
      </w:r>
    </w:p>
    <w:p w14:paraId="7401C9FD">
      <w:pPr>
        <w:pStyle w:val="10"/>
        <w:spacing w:beforeAutospacing="0" w:afterAutospacing="0" w:line="460" w:lineRule="exact"/>
        <w:ind w:firstLine="480" w:firstLineChars="200"/>
        <w:jc w:val="both"/>
        <w:rPr>
          <w:rFonts w:ascii="宋体" w:hAnsi="宋体" w:eastAsia="宋体" w:cs="宋体"/>
          <w:color w:val="auto"/>
          <w:highlight w:val="none"/>
          <w:lang w:val="zh-CN"/>
        </w:rPr>
      </w:pPr>
      <w:r>
        <w:rPr>
          <w:rFonts w:hint="eastAsia" w:ascii="宋体" w:hAnsi="宋体" w:eastAsia="宋体" w:cs="宋体"/>
          <w:color w:val="auto"/>
          <w:kern w:val="2"/>
          <w:highlight w:val="none"/>
        </w:rPr>
        <w:t>4.</w:t>
      </w:r>
      <w:r>
        <w:rPr>
          <w:rFonts w:hint="eastAsia" w:ascii="宋体" w:hAnsi="宋体" w:eastAsia="宋体" w:cs="宋体"/>
          <w:color w:val="auto"/>
          <w:highlight w:val="none"/>
          <w:lang w:val="zh-CN"/>
        </w:rPr>
        <w:t>人员工资及相关费用测算依据：</w:t>
      </w:r>
    </w:p>
    <w:p w14:paraId="53E20AF8">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（1）所有人员工资不低于本市最低工资标准2430元/人每月。</w:t>
      </w:r>
    </w:p>
    <w:p w14:paraId="5B922A09">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所有人员必须足额缴纳保险费用，保险费用应满足执行苏人社发〔2025〕33号《关于发布2025年度社会保险有关基数的通知》，社保（企业部分）不得低于上述文件标准及规定险种测算（规定险种为“五险”，指养老保险金16%、医疗保险金8%、工伤保险金0.7%、生育保险金0.9%、失业保险金0.5%），即不得低于1292.47元/人/月（保留两位小数，小数点后第三位四舍五入）。</w:t>
      </w:r>
    </w:p>
    <w:p w14:paraId="19294F0B">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住房公积金按不低于122元/人/月（整元数）缴纳；如投标单位按月最低工资标准2430元/人/月进行投标报价，需参照苏人社规〔2025〕3号《省人力资源社会保障厅关于调整全省最低工资标准的通知》文件要求，即住房公积金（职工部分）由投标单位缴纳，且不得低于122元/人/月（整元数），则报价时公积金应按244元/人/月（整元数）填报。</w:t>
      </w:r>
    </w:p>
    <w:p w14:paraId="00E47858">
      <w:pPr>
        <w:spacing w:line="4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本项目要求每年法定节假日加班天数为13天，各供应商须按不低于(人员工资/21.75)*3*13元/人/年）填报，否则作无效标书处理。（单价保留两位小数，小数点后第三位四舍五入，用保留后的单价乘人数计算出合价）。</w:t>
      </w:r>
    </w:p>
    <w:p w14:paraId="4B7297F8">
      <w:pPr>
        <w:spacing w:line="4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（5）夏季高温费用每人每月300元，发放6、7、8、9月四个月，各供应商须按不低于1200元/人/年填报，人数不得低于36人。</w:t>
      </w:r>
    </w:p>
    <w:p w14:paraId="3DB6CC82">
      <w:pPr>
        <w:pStyle w:val="10"/>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（6）其他费用（包括但不限于利润、管理费、税金等），供应商按照企业实际情况自行测算，不可漏项、报价不得为零；</w:t>
      </w:r>
    </w:p>
    <w:p w14:paraId="5A004D62">
      <w:pPr>
        <w:autoSpaceDE w:val="0"/>
        <w:autoSpaceDN w:val="0"/>
        <w:adjustRightInd w:val="0"/>
        <w:spacing w:line="360" w:lineRule="auto"/>
        <w:ind w:firstLine="482" w:firstLineChars="200"/>
        <w:jc w:val="left"/>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六、项目管理服务方案</w:t>
      </w:r>
    </w:p>
    <w:p w14:paraId="712ED1C9">
      <w:pPr>
        <w:autoSpaceDE w:val="0"/>
        <w:autoSpaceDN w:val="0"/>
        <w:adjustRightInd w:val="0"/>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1、餐饮管理组织实施方案：</w:t>
      </w:r>
    </w:p>
    <w:p w14:paraId="5ECDAEFB">
      <w:pPr>
        <w:autoSpaceDE w:val="0"/>
        <w:autoSpaceDN w:val="0"/>
        <w:adjustRightIn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应根据采购需求和本项目实际，提供本项目具体实施方案，方案应包括但不限于：（1）企业介绍（2）餐饮服务（3）项目管理制度（4）工作流程标准（5）服务质量标准等内容。要求方案细致完整、针对性强、措施有力，方案的贯彻应能满足本项目各项服务要求。</w:t>
      </w:r>
    </w:p>
    <w:p w14:paraId="07349088">
      <w:pPr>
        <w:autoSpaceDE w:val="0"/>
        <w:autoSpaceDN w:val="0"/>
        <w:adjustRightIn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2、组织机构设置、人员配备、培训与管理方案：</w:t>
      </w:r>
    </w:p>
    <w:p w14:paraId="5B1F7864">
      <w:pPr>
        <w:autoSpaceDE w:val="0"/>
        <w:autoSpaceDN w:val="0"/>
        <w:adjustRightIn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应根据采购需求和本项目实际，提供本项目具体实施方案，方案应包括但不限于：（1）组织机构设置（2）人员配备（3）岗位职责（4）人员培训（5）人员管理等内容。要求方案细致完整、针对性强、措施有力，方案的贯彻应能满足本项目各项服务要求。</w:t>
      </w:r>
    </w:p>
    <w:p w14:paraId="7173AA77">
      <w:pPr>
        <w:autoSpaceDE w:val="0"/>
        <w:autoSpaceDN w:val="0"/>
        <w:adjustRightIn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3、原材料安全管理方案：</w:t>
      </w:r>
    </w:p>
    <w:p w14:paraId="39C98A3E">
      <w:pPr>
        <w:autoSpaceDE w:val="0"/>
        <w:autoSpaceDN w:val="0"/>
        <w:adjustRightIn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应根据采购需求和本项目实际，提供本项目具体实施方案，方案应包括但不限于：（1）原材料采购方式（2）验货标准（3）登记和统计（4）登记和统计等内容。要求方案细致完整、针对性强、措施有力，方案的贯彻应能满足本项目各项服务要求。</w:t>
      </w:r>
    </w:p>
    <w:p w14:paraId="439A6F25">
      <w:pPr>
        <w:autoSpaceDE w:val="0"/>
        <w:autoSpaceDN w:val="0"/>
        <w:adjustRightIn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4、食品质量、安全保障及控制方案</w:t>
      </w:r>
    </w:p>
    <w:p w14:paraId="37DA1100">
      <w:pPr>
        <w:autoSpaceDE w:val="0"/>
        <w:autoSpaceDN w:val="0"/>
        <w:adjustRightIn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应根据采购需求和本项目实际，提供本项目具体实施方案，方案应包括但不限于：（1）食品质量（2）食品保鲜（3）食品保温（4）食品储存（5）剩余食品处理（6）食品留样制度（7）餐厅卫生管理、（8）食品安全保障等内容。要求方案细致完整、针对性强、措施有力，方案的贯彻应能满足本项目各项服务要求。</w:t>
      </w:r>
    </w:p>
    <w:p w14:paraId="4131CF45">
      <w:pPr>
        <w:autoSpaceDE w:val="0"/>
        <w:autoSpaceDN w:val="0"/>
        <w:adjustRightIn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5、突发事件，应急预案：</w:t>
      </w:r>
    </w:p>
    <w:p w14:paraId="49776204">
      <w:pPr>
        <w:autoSpaceDE w:val="0"/>
        <w:autoSpaceDN w:val="0"/>
        <w:adjustRightIn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应根据采购需求和本项目实际，提供本项目具体实施方案，方案应包括但不限于：（1）餐厅停水（停电）停气紧急情况处理措施（2）火灾应急预案处理（3）食物中毒应急方案（4）意外受伤处理预案（5）紧急供餐应急方案等内容。要求方案细致完整、针对性强、措施有力，方案的贯彻应能满足本项目各项服务要求。</w:t>
      </w:r>
    </w:p>
    <w:p w14:paraId="5A9A2CC0">
      <w:pPr>
        <w:autoSpaceDE w:val="0"/>
        <w:autoSpaceDN w:val="0"/>
        <w:adjustRightInd w:val="0"/>
        <w:spacing w:line="360" w:lineRule="auto"/>
        <w:ind w:firstLine="482" w:firstLineChars="200"/>
        <w:jc w:val="left"/>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七、业绩</w:t>
      </w:r>
    </w:p>
    <w:p w14:paraId="74D4EF2A">
      <w:pPr>
        <w:autoSpaceDE w:val="0"/>
        <w:autoSpaceDN w:val="0"/>
        <w:adjustRightIn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供应商需要具备丰富的相关项目承接经验，确保本项目的顺利实施，供应商自2023年1月1日（以合同签订时间为准）以来具有类似业绩的优先。</w:t>
      </w:r>
    </w:p>
    <w:p w14:paraId="7ADD9ECC">
      <w:pPr>
        <w:autoSpaceDE w:val="0"/>
        <w:autoSpaceDN w:val="0"/>
        <w:adjustRightInd w:val="0"/>
        <w:spacing w:line="360" w:lineRule="auto"/>
        <w:ind w:firstLine="482" w:firstLineChars="200"/>
        <w:jc w:val="left"/>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八、体系认证</w:t>
      </w:r>
    </w:p>
    <w:p w14:paraId="24E7382E">
      <w:pPr>
        <w:autoSpaceDE w:val="0"/>
        <w:autoSpaceDN w:val="0"/>
        <w:adjustRightIn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供应商需具备各种良好的管理体系，规范日常管理与服务流程，确保项目服务质量稳定,积极保障员工健康等，整合管理流程，减少重复工作，提高资源利用效率，以保障本项目的顺利实施，具有全国认证认可信息公共服务平台的有效期内的质量管理体系认证证书、环境管理体系认证证书、职业健康安全管理体系认证证书、食品安全管理体系认证证书证书的优先。</w:t>
      </w:r>
    </w:p>
    <w:p w14:paraId="082C80D9">
      <w:pPr>
        <w:spacing w:line="440" w:lineRule="exact"/>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九、现场踏勘</w:t>
      </w:r>
    </w:p>
    <w:p w14:paraId="2CF49309">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根据现场的实际情况将本工程可预见的相关费用自行考虑到投标报价中。采购人向供应商提供的有关现场的数据和资料，是采购人现有的能够被供应商利用的资料，采购人对供应商作出的任何推论、理解和结论均不负责任。</w:t>
      </w:r>
    </w:p>
    <w:p w14:paraId="292736A9">
      <w:pPr>
        <w:spacing w:line="440" w:lineRule="exac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2.供应商自行踏勘现场，发生的费用自理，自行承担在踏勘现场中所发生的人员伤亡和财产损失。</w:t>
      </w:r>
    </w:p>
    <w:p w14:paraId="39211FCB">
      <w:pPr>
        <w:pStyle w:val="10"/>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267EB695">
      <w:pPr>
        <w:pStyle w:val="10"/>
        <w:spacing w:beforeAutospacing="0" w:afterAutospacing="0" w:line="0" w:lineRule="atLeast"/>
        <w:ind w:firstLine="482"/>
        <w:jc w:val="both"/>
        <w:rPr>
          <w:rFonts w:ascii="宋体" w:hAnsi="宋体" w:eastAsia="宋体" w:cs="宋体"/>
          <w:color w:val="auto"/>
          <w:highlight w:val="none"/>
        </w:rPr>
      </w:pPr>
      <w:r>
        <w:rPr>
          <w:rFonts w:hint="eastAsia" w:ascii="宋体" w:hAnsi="宋体" w:eastAsia="宋体" w:cs="宋体"/>
          <w:b/>
          <w:bCs/>
          <w:color w:val="auto"/>
          <w:highlight w:val="none"/>
        </w:rPr>
        <w:t>十、</w:t>
      </w:r>
      <w:r>
        <w:rPr>
          <w:rFonts w:hint="eastAsia" w:ascii="宋体" w:hAnsi="宋体" w:eastAsia="宋体" w:cs="宋体"/>
          <w:color w:val="auto"/>
          <w:highlight w:val="none"/>
        </w:rPr>
        <w:t>采购标的对应的中小企业划分标准所属行业一览表</w:t>
      </w:r>
    </w:p>
    <w:tbl>
      <w:tblPr>
        <w:tblStyle w:val="11"/>
        <w:tblW w:w="5041" w:type="pct"/>
        <w:jc w:val="center"/>
        <w:tblCellSpacing w:w="0" w:type="dxa"/>
        <w:tblLayout w:type="autofit"/>
        <w:tblCellMar>
          <w:top w:w="0" w:type="dxa"/>
          <w:left w:w="108" w:type="dxa"/>
          <w:bottom w:w="0" w:type="dxa"/>
          <w:right w:w="108" w:type="dxa"/>
        </w:tblCellMar>
      </w:tblPr>
      <w:tblGrid>
        <w:gridCol w:w="840"/>
        <w:gridCol w:w="4543"/>
        <w:gridCol w:w="3933"/>
      </w:tblGrid>
      <w:tr w14:paraId="32BAC4B7">
        <w:tblPrEx>
          <w:tblCellMar>
            <w:top w:w="0" w:type="dxa"/>
            <w:left w:w="108" w:type="dxa"/>
            <w:bottom w:w="0" w:type="dxa"/>
            <w:right w:w="108" w:type="dxa"/>
          </w:tblCellMar>
        </w:tblPrEx>
        <w:trPr>
          <w:trHeight w:val="1254" w:hRule="atLeast"/>
          <w:tblCellSpacing w:w="0" w:type="dxa"/>
          <w:jc w:val="center"/>
        </w:trPr>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E7BA3">
            <w:pPr>
              <w:pStyle w:val="10"/>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序号</w:t>
            </w:r>
          </w:p>
        </w:tc>
        <w:tc>
          <w:tcPr>
            <w:tcW w:w="2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29050">
            <w:pPr>
              <w:pStyle w:val="10"/>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采购标的</w:t>
            </w:r>
          </w:p>
        </w:tc>
        <w:tc>
          <w:tcPr>
            <w:tcW w:w="21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92B2D">
            <w:pPr>
              <w:pStyle w:val="10"/>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对应中小企业划分标准所属行业</w:t>
            </w:r>
          </w:p>
        </w:tc>
      </w:tr>
      <w:tr w14:paraId="4DA909A9">
        <w:tblPrEx>
          <w:tblCellMar>
            <w:top w:w="0" w:type="dxa"/>
            <w:left w:w="108" w:type="dxa"/>
            <w:bottom w:w="0" w:type="dxa"/>
            <w:right w:w="108" w:type="dxa"/>
          </w:tblCellMar>
        </w:tblPrEx>
        <w:trPr>
          <w:trHeight w:val="647" w:hRule="atLeast"/>
          <w:tblCellSpacing w:w="0" w:type="dxa"/>
          <w:jc w:val="center"/>
        </w:trPr>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4C53C">
            <w:pPr>
              <w:pStyle w:val="10"/>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1</w:t>
            </w:r>
          </w:p>
        </w:tc>
        <w:tc>
          <w:tcPr>
            <w:tcW w:w="2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55D4C">
            <w:pPr>
              <w:pStyle w:val="10"/>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2026年-2028年盐城市亭湖区行政中心食堂服务外包项目</w:t>
            </w:r>
          </w:p>
        </w:tc>
        <w:tc>
          <w:tcPr>
            <w:tcW w:w="21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1B1EA">
            <w:pPr>
              <w:pStyle w:val="10"/>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餐饮业</w:t>
            </w:r>
          </w:p>
        </w:tc>
      </w:tr>
    </w:tbl>
    <w:p w14:paraId="70F695DC">
      <w:pPr>
        <w:pStyle w:val="10"/>
        <w:spacing w:beforeAutospacing="0" w:afterAutospacing="0" w:line="0" w:lineRule="atLeast"/>
        <w:ind w:firstLine="480"/>
        <w:jc w:val="both"/>
        <w:rPr>
          <w:rFonts w:ascii="宋体" w:hAnsi="宋体" w:eastAsia="宋体" w:cs="宋体"/>
          <w:color w:val="auto"/>
          <w:highlight w:val="none"/>
        </w:rPr>
      </w:pPr>
    </w:p>
    <w:p w14:paraId="3280283E">
      <w:pPr>
        <w:pStyle w:val="10"/>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 </w:t>
      </w:r>
    </w:p>
    <w:p w14:paraId="7013DB98">
      <w:pPr>
        <w:pStyle w:val="10"/>
        <w:spacing w:beforeAutospacing="0" w:afterAutospacing="0" w:line="0" w:lineRule="atLeast"/>
        <w:ind w:firstLine="480"/>
        <w:jc w:val="both"/>
        <w:rPr>
          <w:color w:val="auto"/>
          <w:highlight w:val="none"/>
        </w:rPr>
      </w:pPr>
      <w:r>
        <w:rPr>
          <w:color w:val="auto"/>
          <w:highlight w:val="none"/>
        </w:rPr>
        <w:t> </w:t>
      </w:r>
    </w:p>
    <w:p w14:paraId="63438960">
      <w:pPr>
        <w:pStyle w:val="10"/>
        <w:spacing w:beforeAutospacing="0" w:afterAutospacing="0"/>
        <w:ind w:firstLine="602"/>
        <w:jc w:val="both"/>
        <w:rPr>
          <w:color w:val="auto"/>
          <w:highlight w:val="none"/>
        </w:rPr>
      </w:pPr>
      <w:r>
        <w:rPr>
          <w:color w:val="auto"/>
          <w:highlight w:val="none"/>
        </w:rPr>
        <w:t> </w:t>
      </w:r>
    </w:p>
    <w:p w14:paraId="1450A16B">
      <w:pPr>
        <w:pStyle w:val="10"/>
        <w:spacing w:beforeAutospacing="0" w:afterAutospacing="0"/>
        <w:jc w:val="both"/>
        <w:rPr>
          <w:color w:val="auto"/>
          <w:highlight w:val="none"/>
        </w:rPr>
      </w:pPr>
      <w:r>
        <w:rPr>
          <w:color w:val="auto"/>
          <w:highlight w:val="none"/>
        </w:rPr>
        <w:t> </w:t>
      </w:r>
    </w:p>
    <w:p w14:paraId="04CDADF4">
      <w:pPr>
        <w:pStyle w:val="10"/>
        <w:tabs>
          <w:tab w:val="left" w:pos="6205"/>
        </w:tabs>
        <w:spacing w:beforeAutospacing="0" w:afterAutospacing="0"/>
        <w:jc w:val="both"/>
        <w:rPr>
          <w:color w:val="auto"/>
          <w:highlight w:val="none"/>
        </w:rPr>
      </w:pPr>
      <w:r>
        <w:rPr>
          <w:color w:val="auto"/>
          <w:highlight w:val="none"/>
        </w:rPr>
        <w:t> </w:t>
      </w:r>
    </w:p>
    <w:p w14:paraId="2629703C">
      <w:pPr>
        <w:pStyle w:val="10"/>
        <w:tabs>
          <w:tab w:val="left" w:pos="6205"/>
        </w:tabs>
        <w:spacing w:beforeAutospacing="0" w:afterAutospacing="0"/>
        <w:jc w:val="both"/>
        <w:rPr>
          <w:color w:val="auto"/>
          <w:highlight w:val="none"/>
        </w:rPr>
      </w:pPr>
      <w:r>
        <w:rPr>
          <w:color w:val="auto"/>
          <w:highlight w:val="none"/>
        </w:rPr>
        <w:t> </w:t>
      </w:r>
    </w:p>
    <w:p w14:paraId="00CFFBA5">
      <w:pPr>
        <w:pStyle w:val="10"/>
        <w:tabs>
          <w:tab w:val="left" w:pos="6205"/>
        </w:tabs>
        <w:spacing w:beforeAutospacing="0" w:afterAutospacing="0"/>
        <w:jc w:val="both"/>
        <w:rPr>
          <w:color w:val="auto"/>
          <w:highlight w:val="none"/>
        </w:rPr>
      </w:pPr>
    </w:p>
    <w:p w14:paraId="2851DC52">
      <w:pPr>
        <w:pStyle w:val="10"/>
        <w:tabs>
          <w:tab w:val="left" w:pos="6205"/>
        </w:tabs>
        <w:spacing w:beforeAutospacing="0" w:afterAutospacing="0"/>
        <w:jc w:val="both"/>
        <w:rPr>
          <w:color w:val="auto"/>
          <w:highlight w:val="none"/>
        </w:rPr>
      </w:pPr>
    </w:p>
    <w:p w14:paraId="21F60FD3">
      <w:pPr>
        <w:pStyle w:val="10"/>
        <w:tabs>
          <w:tab w:val="left" w:pos="6205"/>
        </w:tabs>
        <w:spacing w:beforeAutospacing="0" w:afterAutospacing="0"/>
        <w:jc w:val="both"/>
        <w:rPr>
          <w:color w:val="auto"/>
          <w:highlight w:val="none"/>
        </w:rPr>
      </w:pPr>
    </w:p>
    <w:p w14:paraId="0CAEE4C4">
      <w:pPr>
        <w:pStyle w:val="10"/>
        <w:tabs>
          <w:tab w:val="left" w:pos="6205"/>
        </w:tabs>
        <w:spacing w:beforeAutospacing="0" w:afterAutospacing="0"/>
        <w:jc w:val="both"/>
        <w:rPr>
          <w:color w:val="auto"/>
          <w:highlight w:val="none"/>
        </w:rPr>
      </w:pPr>
    </w:p>
    <w:p w14:paraId="39DE15E9">
      <w:pPr>
        <w:pStyle w:val="10"/>
        <w:tabs>
          <w:tab w:val="left" w:pos="6205"/>
        </w:tabs>
        <w:spacing w:beforeAutospacing="0" w:afterAutospacing="0"/>
        <w:jc w:val="both"/>
        <w:rPr>
          <w:color w:val="auto"/>
          <w:highlight w:val="none"/>
        </w:rPr>
      </w:pPr>
    </w:p>
    <w:p w14:paraId="7632FB55">
      <w:pPr>
        <w:pStyle w:val="10"/>
        <w:tabs>
          <w:tab w:val="left" w:pos="6205"/>
        </w:tabs>
        <w:spacing w:beforeAutospacing="0" w:afterAutospacing="0"/>
        <w:jc w:val="both"/>
        <w:rPr>
          <w:color w:val="auto"/>
          <w:highlight w:val="none"/>
        </w:rPr>
      </w:pPr>
    </w:p>
    <w:p w14:paraId="03ABA69E">
      <w:pPr>
        <w:pStyle w:val="10"/>
        <w:tabs>
          <w:tab w:val="left" w:pos="6205"/>
        </w:tabs>
        <w:spacing w:beforeAutospacing="0" w:afterAutospacing="0"/>
        <w:jc w:val="both"/>
        <w:rPr>
          <w:color w:val="auto"/>
          <w:highlight w:val="none"/>
        </w:rPr>
      </w:pPr>
    </w:p>
    <w:p w14:paraId="3AFE7C24">
      <w:pPr>
        <w:pStyle w:val="10"/>
        <w:tabs>
          <w:tab w:val="left" w:pos="6205"/>
        </w:tabs>
        <w:spacing w:beforeAutospacing="0" w:afterAutospacing="0"/>
        <w:jc w:val="both"/>
        <w:rPr>
          <w:color w:val="auto"/>
          <w:highlight w:val="none"/>
        </w:rPr>
      </w:pPr>
    </w:p>
    <w:p w14:paraId="382319BE">
      <w:pPr>
        <w:pStyle w:val="10"/>
        <w:tabs>
          <w:tab w:val="left" w:pos="6205"/>
        </w:tabs>
        <w:spacing w:beforeAutospacing="0" w:afterAutospacing="0"/>
        <w:jc w:val="both"/>
        <w:rPr>
          <w:color w:val="auto"/>
          <w:highlight w:val="none"/>
        </w:rPr>
      </w:pPr>
    </w:p>
    <w:p w14:paraId="673E4E44">
      <w:pPr>
        <w:pStyle w:val="10"/>
        <w:tabs>
          <w:tab w:val="left" w:pos="6205"/>
        </w:tabs>
        <w:spacing w:beforeAutospacing="0" w:afterAutospacing="0"/>
        <w:jc w:val="both"/>
        <w:rPr>
          <w:color w:val="auto"/>
          <w:highlight w:val="none"/>
        </w:rPr>
      </w:pPr>
    </w:p>
    <w:p w14:paraId="4A161F38">
      <w:pPr>
        <w:pStyle w:val="10"/>
        <w:tabs>
          <w:tab w:val="left" w:pos="6205"/>
        </w:tabs>
        <w:spacing w:beforeAutospacing="0" w:afterAutospacing="0"/>
        <w:jc w:val="both"/>
        <w:rPr>
          <w:color w:val="auto"/>
          <w:highlight w:val="none"/>
        </w:rPr>
      </w:pPr>
    </w:p>
    <w:p w14:paraId="6663F612">
      <w:pPr>
        <w:pStyle w:val="10"/>
        <w:tabs>
          <w:tab w:val="left" w:pos="6205"/>
        </w:tabs>
        <w:spacing w:beforeAutospacing="0" w:afterAutospacing="0"/>
        <w:jc w:val="both"/>
        <w:rPr>
          <w:color w:val="auto"/>
          <w:highlight w:val="none"/>
        </w:rPr>
      </w:pPr>
    </w:p>
    <w:p w14:paraId="0F0BBD15">
      <w:pPr>
        <w:pStyle w:val="10"/>
        <w:tabs>
          <w:tab w:val="left" w:pos="6205"/>
        </w:tabs>
        <w:spacing w:beforeAutospacing="0" w:afterAutospacing="0"/>
        <w:jc w:val="both"/>
        <w:rPr>
          <w:color w:val="auto"/>
          <w:highlight w:val="none"/>
        </w:rPr>
      </w:pPr>
    </w:p>
    <w:p w14:paraId="2B3D57C3">
      <w:pPr>
        <w:jc w:val="center"/>
        <w:rPr>
          <w:color w:val="auto"/>
          <w:highlight w:val="none"/>
        </w:rPr>
      </w:pPr>
      <w:bookmarkStart w:id="166" w:name="_Toc120614281"/>
      <w:r>
        <w:rPr>
          <w:rFonts w:hint="eastAsia" w:ascii="黑体" w:hAnsi="宋体" w:eastAsia="黑体" w:cs="黑体"/>
          <w:color w:val="auto"/>
          <w:sz w:val="44"/>
          <w:szCs w:val="44"/>
          <w:highlight w:val="none"/>
        </w:rPr>
        <w:br w:type="page"/>
      </w: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评审方法与评审标准</w:t>
      </w:r>
      <w:bookmarkEnd w:id="166"/>
    </w:p>
    <w:p w14:paraId="11AEE45A">
      <w:pPr>
        <w:pStyle w:val="10"/>
        <w:spacing w:beforeAutospacing="0" w:afterAutospacing="0"/>
        <w:jc w:val="both"/>
        <w:rPr>
          <w:color w:val="auto"/>
          <w:highlight w:val="none"/>
        </w:rPr>
      </w:pPr>
      <w:r>
        <w:rPr>
          <w:color w:val="auto"/>
          <w:highlight w:val="none"/>
        </w:rPr>
        <w:t> </w:t>
      </w:r>
    </w:p>
    <w:p w14:paraId="668FEA9F">
      <w:pPr>
        <w:snapToGrid w:val="0"/>
        <w:spacing w:line="460" w:lineRule="exact"/>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一、定标原则</w:t>
      </w:r>
    </w:p>
    <w:p w14:paraId="2AE93734">
      <w:pPr>
        <w:pStyle w:val="19"/>
        <w:spacing w:before="0" w:after="0" w:line="460" w:lineRule="exact"/>
        <w:ind w:firstLineChars="200"/>
        <w:rPr>
          <w:rFonts w:ascii="宋体" w:hAnsi="宋体" w:eastAsia="宋体" w:cs="宋体"/>
          <w:color w:val="auto"/>
          <w:kern w:val="0"/>
          <w:highlight w:val="none"/>
        </w:rPr>
      </w:pPr>
      <w:r>
        <w:rPr>
          <w:rFonts w:hint="eastAsia" w:ascii="宋体" w:hAnsi="宋体" w:eastAsia="宋体" w:cs="宋体"/>
          <w:color w:val="auto"/>
          <w:kern w:val="0"/>
          <w:highlight w:val="none"/>
          <w:shd w:val="clear" w:color="auto" w:fill="FFFFFF"/>
        </w:rPr>
        <w:t>本项目采用综合评分法，按照评审得分由高到低顺序推荐3名以上成交候选供应商，并编写评审报告。符合《政府采购竞争性磋商采购方式管理暂行办法》</w:t>
      </w:r>
      <w:r>
        <w:rPr>
          <w:rFonts w:hint="eastAsia" w:ascii="宋体" w:hAnsi="宋体" w:eastAsia="宋体" w:cs="宋体"/>
          <w:color w:val="auto"/>
          <w:kern w:val="0"/>
          <w:highlight w:val="none"/>
        </w:rPr>
        <w:t>第二十一条第三款情形的，可以推荐2家成交候选供应商。评审得分相同的，按照最后报价由低到高的顺序推荐。评审得分且最后报价相同的，按照技术指标优劣顺序推荐。</w:t>
      </w:r>
    </w:p>
    <w:p w14:paraId="2A960480">
      <w:pPr>
        <w:pStyle w:val="10"/>
        <w:spacing w:beforeAutospacing="0" w:afterAutospacing="0" w:line="460" w:lineRule="exact"/>
        <w:ind w:firstLine="482" w:firstLineChars="200"/>
        <w:rPr>
          <w:rFonts w:ascii="宋体" w:hAnsi="宋体" w:eastAsia="宋体" w:cs="宋体"/>
          <w:color w:val="auto"/>
          <w:highlight w:val="none"/>
        </w:rPr>
      </w:pPr>
      <w:r>
        <w:rPr>
          <w:rFonts w:hint="eastAsia" w:ascii="宋体" w:hAnsi="宋体" w:eastAsia="宋体" w:cs="宋体"/>
          <w:b/>
          <w:color w:val="auto"/>
          <w:highlight w:val="none"/>
        </w:rPr>
        <w:t>政府采购政策功能落实</w:t>
      </w:r>
    </w:p>
    <w:p w14:paraId="5B335CAE">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1、小微型企业价格扣除</w:t>
      </w:r>
    </w:p>
    <w:p w14:paraId="5A19E5A0">
      <w:pPr>
        <w:pStyle w:val="19"/>
        <w:spacing w:before="0" w:after="0" w:line="460" w:lineRule="exact"/>
        <w:ind w:firstLineChars="200"/>
        <w:rPr>
          <w:rFonts w:ascii="宋体" w:hAnsi="宋体" w:eastAsia="宋体" w:cs="宋体"/>
          <w:color w:val="auto"/>
          <w:highlight w:val="none"/>
        </w:rPr>
      </w:pPr>
      <w:r>
        <w:rPr>
          <w:rFonts w:hint="eastAsia" w:ascii="宋体" w:hAnsi="宋体" w:eastAsia="宋体" w:cs="宋体"/>
          <w:color w:val="auto"/>
          <w:highlight w:val="none"/>
        </w:rPr>
        <w:t>（1）本项目专门面向中小企业采购，不再对小型和微型企业报价给予价格扣除。</w:t>
      </w:r>
    </w:p>
    <w:p w14:paraId="135F3B4B">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（2）供应商需按照磋商文件的要求提供相应的《中小企业声明函》。</w:t>
      </w:r>
    </w:p>
    <w:p w14:paraId="6808D1B1">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（3）企业标准请参照《关于印发中小企业划型标准规定的通知》（工信部联企业〔2011〕300号）文件规定自行填写。</w:t>
      </w:r>
    </w:p>
    <w:p w14:paraId="064503E0">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2、残疾人福利单位价格扣除</w:t>
      </w:r>
    </w:p>
    <w:p w14:paraId="4EA18523">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（1）本项目对残疾人福利性单位视同小型、微型企业，给予</w:t>
      </w:r>
      <w:r>
        <w:rPr>
          <w:rFonts w:hint="eastAsia" w:ascii="宋体" w:hAnsi="宋体" w:eastAsia="宋体" w:cs="宋体"/>
          <w:color w:val="auto"/>
          <w:highlight w:val="none"/>
          <w:u w:val="single"/>
        </w:rPr>
        <w:t>20%</w:t>
      </w:r>
      <w:r>
        <w:rPr>
          <w:rFonts w:hint="eastAsia" w:ascii="宋体" w:hAnsi="宋体" w:eastAsia="宋体" w:cs="宋体"/>
          <w:color w:val="auto"/>
          <w:highlight w:val="none"/>
        </w:rPr>
        <w:t>的价格扣除，用扣除后的价格参与评审。</w:t>
      </w:r>
    </w:p>
    <w:p w14:paraId="185D6843">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（2）残疾人福利单位需按照磋商文件的要求提供《残疾人福利性单位声明函》。</w:t>
      </w:r>
    </w:p>
    <w:p w14:paraId="1E0BA94A">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14:paraId="3F62933B">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3、监狱和戒毒企业价格扣除</w:t>
      </w:r>
    </w:p>
    <w:p w14:paraId="5FC8C63D">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（1）本项目对监狱和戒毒企业（简称监狱企业）视同小型、微型企业，给予</w:t>
      </w:r>
      <w:r>
        <w:rPr>
          <w:rFonts w:hint="eastAsia" w:ascii="宋体" w:hAnsi="宋体" w:eastAsia="宋体" w:cs="宋体"/>
          <w:color w:val="auto"/>
          <w:highlight w:val="none"/>
          <w:u w:val="single"/>
        </w:rPr>
        <w:t>20%</w:t>
      </w:r>
      <w:r>
        <w:rPr>
          <w:rFonts w:hint="eastAsia" w:ascii="宋体" w:hAnsi="宋体" w:eastAsia="宋体" w:cs="宋体"/>
          <w:color w:val="auto"/>
          <w:highlight w:val="none"/>
        </w:rPr>
        <w:t>的价格扣除，用扣除后的价格参与评审。</w:t>
      </w:r>
    </w:p>
    <w:p w14:paraId="59B8EFC6">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7E0A149F">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（3）监狱企业标准请参照《关于政府采购支持监狱企业发展有关问题的通知》（财库〔2014〕68号）。</w:t>
      </w:r>
    </w:p>
    <w:p w14:paraId="28829AAC">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4、残疾人福利单位、监狱企业属于小型、微型企业的，不重复享受政策。</w:t>
      </w:r>
    </w:p>
    <w:p w14:paraId="55DDCA61">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6%</w:t>
      </w:r>
      <w:r>
        <w:rPr>
          <w:rFonts w:hint="eastAsia" w:ascii="宋体" w:hAnsi="宋体" w:eastAsia="宋体" w:cs="宋体"/>
          <w:color w:val="auto"/>
          <w:highlight w:val="none"/>
        </w:rPr>
        <w:t>的价格扣除，用扣除后的价格参与评审。</w:t>
      </w:r>
    </w:p>
    <w:p w14:paraId="6EE2EE2C">
      <w:pPr>
        <w:pStyle w:val="10"/>
        <w:spacing w:beforeAutospacing="0" w:afterAutospacing="0" w:line="4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6、联合体各方均为小型、微型企业（残疾人福利单位、监狱企业）的，联合体享受</w:t>
      </w:r>
      <w:r>
        <w:rPr>
          <w:rFonts w:hint="eastAsia" w:ascii="宋体" w:hAnsi="宋体" w:eastAsia="宋体" w:cs="宋体"/>
          <w:color w:val="auto"/>
          <w:highlight w:val="none"/>
          <w:u w:val="single"/>
        </w:rPr>
        <w:t>20%</w:t>
      </w:r>
      <w:r>
        <w:rPr>
          <w:rFonts w:hint="eastAsia" w:ascii="宋体" w:hAnsi="宋体" w:eastAsia="宋体" w:cs="宋体"/>
          <w:color w:val="auto"/>
          <w:highlight w:val="none"/>
        </w:rPr>
        <w:t>价格扣除，用扣除后的价格参与评审。</w:t>
      </w:r>
    </w:p>
    <w:p w14:paraId="547A6AC6">
      <w:pPr>
        <w:adjustRightInd w:val="0"/>
        <w:spacing w:line="460" w:lineRule="exact"/>
        <w:ind w:firstLine="482" w:firstLineChars="200"/>
        <w:jc w:val="left"/>
        <w:textAlignment w:val="baseline"/>
        <w:rPr>
          <w:rFonts w:ascii="宋体" w:hAnsi="宋体" w:eastAsia="宋体" w:cs="宋体"/>
          <w:b/>
          <w:bCs/>
          <w:color w:val="auto"/>
          <w:sz w:val="24"/>
          <w:highlight w:val="none"/>
        </w:rPr>
      </w:pPr>
      <w:r>
        <w:rPr>
          <w:rFonts w:hint="eastAsia" w:ascii="宋体" w:hAnsi="宋体" w:eastAsia="宋体" w:cs="宋体"/>
          <w:b/>
          <w:bCs/>
          <w:color w:val="auto"/>
          <w:sz w:val="24"/>
          <w:highlight w:val="none"/>
        </w:rPr>
        <w:t>7、采购本国产品的支持政策</w:t>
      </w:r>
    </w:p>
    <w:p w14:paraId="1B35457D">
      <w:pPr>
        <w:adjustRightInd w:val="0"/>
        <w:spacing w:line="460" w:lineRule="exact"/>
        <w:ind w:firstLine="482" w:firstLineChars="200"/>
        <w:jc w:val="left"/>
        <w:textAlignment w:val="baseline"/>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highlight w:val="none"/>
          <w:u w:val="single"/>
        </w:rPr>
        <w:t>20%</w:t>
      </w:r>
      <w:r>
        <w:rPr>
          <w:rFonts w:hint="eastAsia" w:ascii="宋体" w:hAnsi="宋体" w:eastAsia="宋体" w:cs="宋体"/>
          <w:b/>
          <w:bCs/>
          <w:color w:val="auto"/>
          <w:sz w:val="24"/>
          <w:highlight w:val="none"/>
        </w:rPr>
        <w:t>的价格扣除，用扣除后的价格参与评审。</w:t>
      </w:r>
    </w:p>
    <w:p w14:paraId="521B83EF">
      <w:pPr>
        <w:adjustRightInd w:val="0"/>
        <w:spacing w:line="460" w:lineRule="exact"/>
        <w:ind w:firstLine="482" w:firstLineChars="200"/>
        <w:jc w:val="left"/>
        <w:textAlignment w:val="baseline"/>
        <w:rPr>
          <w:rFonts w:ascii="宋体" w:hAnsi="宋体" w:eastAsia="宋体" w:cs="宋体"/>
          <w:b/>
          <w:bCs/>
          <w:color w:val="auto"/>
          <w:sz w:val="24"/>
          <w:highlight w:val="none"/>
        </w:rPr>
      </w:pPr>
      <w:r>
        <w:rPr>
          <w:rFonts w:hint="eastAsia" w:ascii="宋体" w:hAnsi="宋体" w:eastAsia="宋体" w:cs="宋体"/>
          <w:b/>
          <w:bCs/>
          <w:color w:val="auto"/>
          <w:sz w:val="24"/>
          <w:highlight w:val="none"/>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highlight w:val="none"/>
          <w:u w:val="single"/>
        </w:rPr>
        <w:t>80%</w:t>
      </w:r>
      <w:r>
        <w:rPr>
          <w:rFonts w:hint="eastAsia" w:ascii="宋体" w:hAnsi="宋体" w:eastAsia="宋体" w:cs="宋体"/>
          <w:b/>
          <w:bCs/>
          <w:color w:val="auto"/>
          <w:sz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highlight w:val="none"/>
          <w:u w:val="single"/>
        </w:rPr>
        <w:t>20%</w:t>
      </w:r>
      <w:r>
        <w:rPr>
          <w:rFonts w:hint="eastAsia" w:ascii="宋体" w:hAnsi="宋体" w:eastAsia="宋体" w:cs="宋体"/>
          <w:b/>
          <w:bCs/>
          <w:color w:val="auto"/>
          <w:sz w:val="24"/>
          <w:highlight w:val="none"/>
        </w:rPr>
        <w:t>的价格扣除，用扣除后的价格参与评审。供应商未填写比例数值，或比例数值未达到80%的，将不享受本国产品价格评审优惠。</w:t>
      </w:r>
    </w:p>
    <w:p w14:paraId="62AAC6DC">
      <w:pPr>
        <w:adjustRightInd w:val="0"/>
        <w:spacing w:line="460" w:lineRule="exact"/>
        <w:ind w:firstLine="482" w:firstLineChars="200"/>
        <w:jc w:val="left"/>
        <w:textAlignment w:val="baseline"/>
        <w:rPr>
          <w:rFonts w:ascii="宋体" w:hAnsi="宋体" w:eastAsia="宋体" w:cs="宋体"/>
          <w:b/>
          <w:bCs/>
          <w:color w:val="auto"/>
          <w:sz w:val="24"/>
          <w:highlight w:val="none"/>
        </w:rPr>
      </w:pPr>
      <w:r>
        <w:rPr>
          <w:rFonts w:hint="eastAsia" w:ascii="宋体" w:hAnsi="宋体" w:eastAsia="宋体" w:cs="宋体"/>
          <w:b/>
          <w:bCs/>
          <w:color w:val="auto"/>
          <w:sz w:val="24"/>
          <w:highlight w:val="none"/>
        </w:rPr>
        <w:t>7.3 供应商需按照招标文件的要求提供《关于符合本国产品标准的声明函》（以下简称《声明函》），如不提供将不享受本国产品价格评审优惠。</w:t>
      </w:r>
    </w:p>
    <w:p w14:paraId="7BAC137E">
      <w:pPr>
        <w:adjustRightInd w:val="0"/>
        <w:spacing w:line="460" w:lineRule="exact"/>
        <w:ind w:firstLine="482" w:firstLineChars="200"/>
        <w:jc w:val="left"/>
        <w:textAlignment w:val="baseline"/>
        <w:rPr>
          <w:rFonts w:ascii="宋体" w:hAnsi="宋体" w:eastAsia="宋体" w:cs="宋体"/>
          <w:b/>
          <w:bCs/>
          <w:color w:val="auto"/>
          <w:sz w:val="24"/>
          <w:highlight w:val="none"/>
        </w:rPr>
      </w:pPr>
      <w:r>
        <w:rPr>
          <w:rFonts w:hint="eastAsia" w:ascii="宋体" w:hAnsi="宋体" w:eastAsia="宋体" w:cs="宋体"/>
          <w:b/>
          <w:bCs/>
          <w:color w:val="auto"/>
          <w:sz w:val="24"/>
          <w:highlight w:val="none"/>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0F79A42E">
      <w:pPr>
        <w:adjustRightInd w:val="0"/>
        <w:spacing w:line="460" w:lineRule="exact"/>
        <w:ind w:firstLine="482" w:firstLineChars="200"/>
        <w:jc w:val="left"/>
        <w:textAlignment w:val="baseline"/>
        <w:rPr>
          <w:rFonts w:ascii="宋体" w:hAnsi="宋体" w:eastAsia="宋体" w:cs="宋体"/>
          <w:b/>
          <w:bCs/>
          <w:color w:val="auto"/>
          <w:sz w:val="24"/>
          <w:highlight w:val="none"/>
        </w:rPr>
      </w:pPr>
      <w:r>
        <w:rPr>
          <w:rFonts w:hint="eastAsia" w:ascii="宋体" w:hAnsi="宋体" w:eastAsia="宋体" w:cs="宋体"/>
          <w:b/>
          <w:bCs/>
          <w:color w:val="auto"/>
          <w:sz w:val="24"/>
          <w:highlight w:val="none"/>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FCF8D3E">
      <w:pPr>
        <w:spacing w:line="460" w:lineRule="exac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48B14CA2">
      <w:pPr>
        <w:pStyle w:val="10"/>
        <w:spacing w:beforeAutospacing="0" w:afterAutospacing="0" w:line="460" w:lineRule="exact"/>
        <w:ind w:firstLine="480" w:firstLineChars="200"/>
        <w:rPr>
          <w:rFonts w:ascii="宋体" w:hAnsi="宋体" w:eastAsia="宋体" w:cs="宋体"/>
          <w:color w:val="auto"/>
          <w:highlight w:val="none"/>
        </w:rPr>
      </w:pPr>
    </w:p>
    <w:p w14:paraId="62176F70">
      <w:pPr>
        <w:pStyle w:val="10"/>
        <w:spacing w:beforeAutospacing="0" w:afterAutospacing="0" w:line="460" w:lineRule="exact"/>
        <w:ind w:firstLine="482" w:firstLineChars="200"/>
        <w:rPr>
          <w:rFonts w:ascii="宋体" w:hAnsi="宋体" w:eastAsia="宋体" w:cs="宋体"/>
          <w:color w:val="auto"/>
          <w:highlight w:val="none"/>
        </w:rPr>
      </w:pPr>
      <w:r>
        <w:rPr>
          <w:rFonts w:hint="eastAsia" w:ascii="宋体" w:hAnsi="宋体" w:eastAsia="宋体" w:cs="宋体"/>
          <w:b/>
          <w:color w:val="auto"/>
          <w:highlight w:val="none"/>
        </w:rPr>
        <w:t>评审方法与评审标准</w:t>
      </w:r>
    </w:p>
    <w:tbl>
      <w:tblPr>
        <w:tblStyle w:val="11"/>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097"/>
        <w:gridCol w:w="6721"/>
        <w:gridCol w:w="739"/>
      </w:tblGrid>
      <w:tr w14:paraId="33053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37B50242">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596" w:type="pct"/>
            <w:vAlign w:val="center"/>
          </w:tcPr>
          <w:p w14:paraId="12EDBE07">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内容</w:t>
            </w:r>
          </w:p>
        </w:tc>
        <w:tc>
          <w:tcPr>
            <w:tcW w:w="3651" w:type="pct"/>
            <w:vAlign w:val="center"/>
          </w:tcPr>
          <w:p w14:paraId="11962A67">
            <w:pPr>
              <w:spacing w:line="460" w:lineRule="exact"/>
              <w:ind w:firstLine="420"/>
              <w:jc w:val="center"/>
              <w:rPr>
                <w:rFonts w:ascii="宋体" w:hAnsi="宋体" w:cs="宋体"/>
                <w:color w:val="auto"/>
                <w:szCs w:val="21"/>
                <w:highlight w:val="none"/>
              </w:rPr>
            </w:pPr>
            <w:r>
              <w:rPr>
                <w:rFonts w:hint="eastAsia" w:ascii="宋体" w:hAnsi="宋体" w:cs="宋体"/>
                <w:color w:val="auto"/>
                <w:szCs w:val="21"/>
                <w:highlight w:val="none"/>
              </w:rPr>
              <w:t>评分细则</w:t>
            </w:r>
          </w:p>
        </w:tc>
        <w:tc>
          <w:tcPr>
            <w:tcW w:w="401" w:type="pct"/>
            <w:vAlign w:val="center"/>
          </w:tcPr>
          <w:p w14:paraId="6492615B">
            <w:pPr>
              <w:spacing w:line="460" w:lineRule="exact"/>
              <w:rPr>
                <w:rFonts w:ascii="宋体" w:hAnsi="宋体" w:cs="宋体"/>
                <w:color w:val="auto"/>
                <w:szCs w:val="21"/>
                <w:highlight w:val="none"/>
              </w:rPr>
            </w:pPr>
            <w:r>
              <w:rPr>
                <w:rFonts w:hint="eastAsia" w:ascii="宋体" w:hAnsi="宋体" w:cs="宋体"/>
                <w:color w:val="auto"/>
                <w:szCs w:val="21"/>
                <w:highlight w:val="none"/>
              </w:rPr>
              <w:t>分值</w:t>
            </w:r>
          </w:p>
        </w:tc>
      </w:tr>
      <w:tr w14:paraId="3CC34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2D1E1E44">
            <w:pPr>
              <w:spacing w:line="460" w:lineRule="exact"/>
              <w:rPr>
                <w:rFonts w:ascii="宋体" w:hAnsi="宋体" w:cs="宋体"/>
                <w:color w:val="auto"/>
                <w:szCs w:val="21"/>
                <w:highlight w:val="none"/>
              </w:rPr>
            </w:pPr>
            <w:r>
              <w:rPr>
                <w:rFonts w:hint="eastAsia" w:ascii="宋体" w:hAnsi="宋体" w:cs="宋体"/>
                <w:color w:val="auto"/>
                <w:szCs w:val="21"/>
                <w:highlight w:val="none"/>
              </w:rPr>
              <w:t>１</w:t>
            </w:r>
          </w:p>
        </w:tc>
        <w:tc>
          <w:tcPr>
            <w:tcW w:w="596" w:type="pct"/>
            <w:vAlign w:val="center"/>
          </w:tcPr>
          <w:p w14:paraId="522493B7">
            <w:pPr>
              <w:spacing w:line="460" w:lineRule="exact"/>
              <w:rPr>
                <w:rFonts w:ascii="宋体" w:hAnsi="宋体" w:cs="宋体"/>
                <w:color w:val="auto"/>
                <w:szCs w:val="21"/>
                <w:highlight w:val="none"/>
              </w:rPr>
            </w:pPr>
            <w:r>
              <w:rPr>
                <w:rFonts w:hint="eastAsia" w:ascii="宋体" w:hAnsi="宋体" w:cs="宋体"/>
                <w:color w:val="auto"/>
                <w:szCs w:val="21"/>
                <w:highlight w:val="none"/>
              </w:rPr>
              <w:t>价格</w:t>
            </w:r>
          </w:p>
        </w:tc>
        <w:tc>
          <w:tcPr>
            <w:tcW w:w="3651" w:type="pct"/>
            <w:vAlign w:val="center"/>
          </w:tcPr>
          <w:p w14:paraId="7F7D81EC">
            <w:pPr>
              <w:spacing w:line="46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磋商基准价：满足磋商文件要求且最后报价最低的供应商的价格；</w:t>
            </w:r>
          </w:p>
          <w:p w14:paraId="244716CA">
            <w:pPr>
              <w:spacing w:line="46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磋商报价得分=（磋商基准价/最后磋商报价）*3</w:t>
            </w:r>
            <w:r>
              <w:rPr>
                <w:rFonts w:ascii="宋体" w:hAnsi="宋体" w:eastAsia="宋体" w:cs="宋体"/>
                <w:color w:val="auto"/>
                <w:szCs w:val="21"/>
                <w:highlight w:val="none"/>
              </w:rPr>
              <w:t>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（小数点保留一位）</w:t>
            </w:r>
          </w:p>
        </w:tc>
        <w:tc>
          <w:tcPr>
            <w:tcW w:w="401" w:type="pct"/>
            <w:vAlign w:val="center"/>
          </w:tcPr>
          <w:p w14:paraId="29276CEB">
            <w:pPr>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30分</w:t>
            </w:r>
          </w:p>
        </w:tc>
      </w:tr>
      <w:tr w14:paraId="1801D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Align w:val="center"/>
          </w:tcPr>
          <w:p w14:paraId="3E77747B">
            <w:pPr>
              <w:spacing w:line="460" w:lineRule="exact"/>
              <w:rPr>
                <w:rFonts w:ascii="宋体" w:hAnsi="宋体" w:cs="宋体"/>
                <w:color w:val="auto"/>
                <w:szCs w:val="21"/>
                <w:highlight w:val="none"/>
              </w:rPr>
            </w:pPr>
            <w:r>
              <w:rPr>
                <w:rFonts w:ascii="宋体" w:hAnsi="宋体" w:cs="宋体"/>
                <w:color w:val="auto"/>
                <w:szCs w:val="21"/>
                <w:highlight w:val="none"/>
              </w:rPr>
              <w:t>2</w:t>
            </w:r>
          </w:p>
        </w:tc>
        <w:tc>
          <w:tcPr>
            <w:tcW w:w="596" w:type="pct"/>
            <w:vAlign w:val="center"/>
          </w:tcPr>
          <w:p w14:paraId="0A259C82">
            <w:pPr>
              <w:spacing w:line="460" w:lineRule="exact"/>
              <w:rPr>
                <w:rFonts w:ascii="宋体" w:hAnsi="宋体" w:cs="宋体"/>
                <w:color w:val="auto"/>
                <w:szCs w:val="21"/>
                <w:highlight w:val="none"/>
              </w:rPr>
            </w:pPr>
            <w:r>
              <w:rPr>
                <w:rFonts w:hint="eastAsia" w:ascii="宋体" w:hAnsi="宋体" w:cs="宋体"/>
                <w:color w:val="auto"/>
                <w:szCs w:val="21"/>
                <w:highlight w:val="none"/>
              </w:rPr>
              <w:t>供应商业绩</w:t>
            </w:r>
          </w:p>
        </w:tc>
        <w:tc>
          <w:tcPr>
            <w:tcW w:w="3650" w:type="pct"/>
            <w:vAlign w:val="center"/>
          </w:tcPr>
          <w:p w14:paraId="1172F49B">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供应商自2023年1月1日（合同签订日期）以来</w:t>
            </w:r>
            <w:r>
              <w:rPr>
                <w:rFonts w:hint="eastAsia" w:ascii="宋体" w:hAnsi="宋体" w:eastAsia="宋体" w:cs="宋体"/>
                <w:color w:val="auto"/>
                <w:szCs w:val="21"/>
                <w:highlight w:val="none"/>
              </w:rPr>
              <w:t>承担同类业绩的</w:t>
            </w:r>
            <w:r>
              <w:rPr>
                <w:rFonts w:hint="eastAsia" w:ascii="宋体" w:hAnsi="宋体" w:cs="宋体"/>
                <w:color w:val="auto"/>
                <w:szCs w:val="21"/>
                <w:highlight w:val="none"/>
              </w:rPr>
              <w:t>，每提供一个得3分，本项最多得12分。</w:t>
            </w:r>
          </w:p>
          <w:p w14:paraId="36334C4B">
            <w:pPr>
              <w:spacing w:line="460" w:lineRule="exact"/>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评审依据：</w:t>
            </w:r>
            <w:r>
              <w:rPr>
                <w:rFonts w:hint="eastAsia" w:ascii="宋体" w:hAnsi="宋体" w:eastAsia="宋体" w:cs="宋体"/>
                <w:color w:val="auto"/>
                <w:szCs w:val="21"/>
                <w:highlight w:val="none"/>
              </w:rPr>
              <w:t>投标时需提供合同扫描件并加盖供应商公章，内容需体现同类食堂餐饮项目和具体签订时间。多份合同但实际服务对象为同一业主的算一个，同一项目续签合同不可重复得分。提供的业绩须具有被服务单位对物业服务满意的评价证明。</w:t>
            </w:r>
            <w:r>
              <w:rPr>
                <w:rFonts w:hint="eastAsia" w:ascii="宋体" w:hAnsi="宋体" w:eastAsia="宋体" w:cs="宋体"/>
                <w:b/>
                <w:bCs/>
                <w:color w:val="auto"/>
                <w:szCs w:val="21"/>
                <w:highlight w:val="none"/>
              </w:rPr>
              <w:t>资格审查业绩不参与评审。</w:t>
            </w:r>
          </w:p>
        </w:tc>
        <w:tc>
          <w:tcPr>
            <w:tcW w:w="401" w:type="pct"/>
            <w:vAlign w:val="center"/>
          </w:tcPr>
          <w:p w14:paraId="4D3658D5">
            <w:pPr>
              <w:spacing w:line="460" w:lineRule="exact"/>
              <w:rPr>
                <w:rFonts w:ascii="宋体" w:hAnsi="宋体" w:cs="宋体"/>
                <w:color w:val="auto"/>
                <w:szCs w:val="21"/>
                <w:highlight w:val="none"/>
              </w:rPr>
            </w:pPr>
            <w:r>
              <w:rPr>
                <w:rFonts w:hint="eastAsia" w:ascii="宋体" w:hAnsi="宋体" w:cs="宋体"/>
                <w:color w:val="auto"/>
                <w:szCs w:val="21"/>
                <w:highlight w:val="none"/>
              </w:rPr>
              <w:t>12</w:t>
            </w:r>
            <w:r>
              <w:rPr>
                <w:rFonts w:ascii="宋体" w:hAnsi="宋体" w:cs="宋体"/>
                <w:color w:val="auto"/>
                <w:szCs w:val="21"/>
                <w:highlight w:val="none"/>
              </w:rPr>
              <w:t>分</w:t>
            </w:r>
          </w:p>
        </w:tc>
      </w:tr>
      <w:tr w14:paraId="077E4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Align w:val="center"/>
          </w:tcPr>
          <w:p w14:paraId="744A5E14">
            <w:pPr>
              <w:spacing w:line="460" w:lineRule="exact"/>
              <w:rPr>
                <w:rFonts w:ascii="宋体" w:hAnsi="宋体" w:cs="宋体"/>
                <w:color w:val="auto"/>
                <w:szCs w:val="21"/>
                <w:highlight w:val="none"/>
              </w:rPr>
            </w:pPr>
            <w:r>
              <w:rPr>
                <w:rFonts w:hint="eastAsia" w:ascii="宋体" w:hAnsi="宋体" w:cs="宋体"/>
                <w:color w:val="auto"/>
                <w:szCs w:val="21"/>
                <w:highlight w:val="none"/>
              </w:rPr>
              <w:t>3</w:t>
            </w:r>
          </w:p>
        </w:tc>
        <w:tc>
          <w:tcPr>
            <w:tcW w:w="596" w:type="pct"/>
            <w:vAlign w:val="center"/>
          </w:tcPr>
          <w:p w14:paraId="788F3286">
            <w:pPr>
              <w:spacing w:line="460" w:lineRule="exact"/>
              <w:rPr>
                <w:rFonts w:ascii="宋体" w:hAnsi="宋体" w:cs="宋体"/>
                <w:color w:val="auto"/>
                <w:szCs w:val="21"/>
                <w:highlight w:val="none"/>
              </w:rPr>
            </w:pPr>
            <w:r>
              <w:rPr>
                <w:rFonts w:hint="eastAsia" w:ascii="宋体" w:hAnsi="宋体" w:eastAsia="宋体" w:cs="宋体"/>
                <w:color w:val="auto"/>
                <w:szCs w:val="21"/>
                <w:highlight w:val="none"/>
              </w:rPr>
              <w:t>企业实力</w:t>
            </w:r>
          </w:p>
        </w:tc>
        <w:tc>
          <w:tcPr>
            <w:tcW w:w="3650" w:type="pct"/>
            <w:vAlign w:val="center"/>
          </w:tcPr>
          <w:p w14:paraId="7C281040">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供应商提供有效期内的质量管理体系认证证书、环境管理体系认证证书、职业健康安全管理体系认证证书，每提供1个得2分，满分</w:t>
            </w:r>
            <w:r>
              <w:rPr>
                <w:rFonts w:ascii="宋体" w:hAnsi="宋体" w:cs="宋体"/>
                <w:color w:val="auto"/>
                <w:szCs w:val="21"/>
                <w:highlight w:val="none"/>
              </w:rPr>
              <w:t>6</w:t>
            </w:r>
            <w:r>
              <w:rPr>
                <w:rFonts w:hint="eastAsia" w:ascii="宋体" w:hAnsi="宋体" w:cs="宋体"/>
                <w:color w:val="auto"/>
                <w:szCs w:val="21"/>
                <w:highlight w:val="none"/>
              </w:rPr>
              <w:t>分。</w:t>
            </w:r>
          </w:p>
          <w:p w14:paraId="78E0D548">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评审依据：本项以供应商提供的网站截图和证书原件扫描件为准（认证证书查询官网“全国认证认可信息公共服务平台”http://cx.cnca.cn/CertECloud/index/index/page）并加盖供应商公章。</w:t>
            </w:r>
          </w:p>
        </w:tc>
        <w:tc>
          <w:tcPr>
            <w:tcW w:w="401" w:type="pct"/>
            <w:vAlign w:val="center"/>
          </w:tcPr>
          <w:p w14:paraId="055D892D">
            <w:pPr>
              <w:spacing w:line="460" w:lineRule="exact"/>
              <w:rPr>
                <w:rFonts w:ascii="宋体" w:hAnsi="宋体" w:cs="宋体"/>
                <w:color w:val="auto"/>
                <w:szCs w:val="21"/>
                <w:highlight w:val="none"/>
              </w:rPr>
            </w:pPr>
            <w:r>
              <w:rPr>
                <w:rFonts w:ascii="宋体" w:hAnsi="宋体" w:cs="宋体"/>
                <w:color w:val="auto"/>
                <w:szCs w:val="21"/>
                <w:highlight w:val="none"/>
              </w:rPr>
              <w:t>6分</w:t>
            </w:r>
          </w:p>
        </w:tc>
      </w:tr>
      <w:tr w14:paraId="30075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Merge w:val="restart"/>
            <w:vAlign w:val="center"/>
          </w:tcPr>
          <w:p w14:paraId="3FC94802">
            <w:pPr>
              <w:spacing w:line="460" w:lineRule="exact"/>
              <w:rPr>
                <w:rFonts w:ascii="宋体" w:hAnsi="宋体" w:cs="宋体"/>
                <w:color w:val="auto"/>
                <w:szCs w:val="21"/>
                <w:highlight w:val="none"/>
              </w:rPr>
            </w:pPr>
            <w:r>
              <w:rPr>
                <w:rFonts w:ascii="宋体" w:hAnsi="宋体" w:cs="宋体"/>
                <w:color w:val="auto"/>
                <w:szCs w:val="21"/>
                <w:highlight w:val="none"/>
              </w:rPr>
              <w:t>4</w:t>
            </w:r>
          </w:p>
        </w:tc>
        <w:tc>
          <w:tcPr>
            <w:tcW w:w="596" w:type="pct"/>
            <w:vMerge w:val="restart"/>
            <w:shd w:val="clear" w:color="auto" w:fill="auto"/>
            <w:vAlign w:val="center"/>
          </w:tcPr>
          <w:p w14:paraId="27C11993">
            <w:pPr>
              <w:spacing w:line="460" w:lineRule="exact"/>
              <w:rPr>
                <w:rFonts w:ascii="宋体" w:hAnsi="宋体" w:cs="宋体"/>
                <w:color w:val="auto"/>
                <w:szCs w:val="21"/>
                <w:highlight w:val="none"/>
              </w:rPr>
            </w:pPr>
            <w:r>
              <w:rPr>
                <w:rFonts w:hint="eastAsia" w:ascii="宋体" w:hAnsi="宋体" w:cs="宋体"/>
                <w:color w:val="auto"/>
                <w:szCs w:val="21"/>
                <w:highlight w:val="none"/>
              </w:rPr>
              <w:t>实施</w:t>
            </w:r>
            <w:r>
              <w:rPr>
                <w:rFonts w:ascii="宋体" w:hAnsi="宋体" w:cs="宋体"/>
                <w:color w:val="auto"/>
                <w:szCs w:val="21"/>
                <w:highlight w:val="none"/>
              </w:rPr>
              <w:t>方案</w:t>
            </w:r>
          </w:p>
        </w:tc>
        <w:tc>
          <w:tcPr>
            <w:tcW w:w="6738" w:type="dxa"/>
            <w:shd w:val="clear" w:color="auto" w:fill="auto"/>
            <w:vAlign w:val="center"/>
          </w:tcPr>
          <w:p w14:paraId="54083D67">
            <w:pPr>
              <w:spacing w:line="400" w:lineRule="exact"/>
              <w:ind w:firstLine="162" w:firstLineChars="77"/>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1、餐饮管理组织实施方案（10分）</w:t>
            </w:r>
          </w:p>
          <w:p w14:paraId="0E0FA64D">
            <w:pPr>
              <w:spacing w:line="400" w:lineRule="exact"/>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供应商根据第四章第六条第1款要求，提供“餐饮管理组织实施方案”包含但不限于：</w:t>
            </w:r>
            <w:r>
              <w:rPr>
                <w:rFonts w:hint="eastAsia" w:ascii="宋体" w:hAnsi="宋体" w:eastAsia="宋体" w:cs="宋体"/>
                <w:color w:val="auto"/>
                <w:szCs w:val="21"/>
                <w:highlight w:val="none"/>
                <w:u w:val="single"/>
              </w:rPr>
              <w:t>企业介绍、餐饮服务、项目管理制度、工作流程标准、服务质量标准等内容</w:t>
            </w:r>
            <w:r>
              <w:rPr>
                <w:rFonts w:hint="eastAsia" w:ascii="宋体" w:hAnsi="宋体" w:eastAsia="宋体" w:cs="宋体"/>
                <w:color w:val="auto"/>
                <w:szCs w:val="21"/>
                <w:highlight w:val="none"/>
              </w:rPr>
              <w:t>；要求，提供细致完整、措施有力、针对性和操作性强的餐饮管理组织实施的措施方案。</w:t>
            </w:r>
          </w:p>
          <w:p w14:paraId="6DE3EF26">
            <w:pPr>
              <w:spacing w:line="400" w:lineRule="exact"/>
              <w:ind w:firstLine="420" w:firstLineChars="200"/>
              <w:rPr>
                <w:rFonts w:ascii="宋体" w:hAnsi="宋体" w:cs="宋体"/>
                <w:color w:val="auto"/>
                <w:szCs w:val="21"/>
                <w:highlight w:val="none"/>
              </w:rPr>
            </w:pPr>
            <w:r>
              <w:rPr>
                <w:rFonts w:hint="eastAsia" w:ascii="宋体" w:hAnsi="宋体" w:eastAsia="宋体" w:cs="宋体"/>
                <w:color w:val="auto"/>
                <w:szCs w:val="21"/>
                <w:highlight w:val="none"/>
                <w:lang w:val="zh-CN"/>
              </w:rPr>
              <w:t>评委根据供应商提供的</w:t>
            </w:r>
            <w:r>
              <w:rPr>
                <w:rFonts w:hint="eastAsia" w:ascii="宋体" w:hAnsi="宋体" w:eastAsia="宋体" w:cs="宋体"/>
                <w:color w:val="auto"/>
                <w:szCs w:val="21"/>
                <w:highlight w:val="none"/>
              </w:rPr>
              <w:t>方案完整性，专业性、可行性强，考虑周全，思路特别清晰，优于项目需求得，得10分；对项目总体有一定的认识，方案较为完整、细致，思路基本清晰，基本符合项目需求，得8分；</w:t>
            </w:r>
            <w:r>
              <w:rPr>
                <w:rFonts w:hint="eastAsia" w:ascii="宋体" w:hAnsi="宋体" w:eastAsia="宋体" w:cs="宋体"/>
                <w:color w:val="auto"/>
                <w:szCs w:val="21"/>
                <w:highlight w:val="none"/>
              </w:rPr>
              <w:t>方案</w:t>
            </w:r>
            <w:r>
              <w:rPr>
                <w:rFonts w:hint="eastAsia" w:ascii="宋体" w:hAnsi="宋体" w:eastAsia="宋体" w:cs="宋体"/>
                <w:color w:val="auto"/>
                <w:szCs w:val="21"/>
                <w:highlight w:val="none"/>
                <w:lang w:val="zh-CN"/>
              </w:rPr>
              <w:t>不满足本项目需求或未提供方案的得0分。</w:t>
            </w:r>
          </w:p>
        </w:tc>
        <w:tc>
          <w:tcPr>
            <w:tcW w:w="401" w:type="pct"/>
            <w:shd w:val="clear" w:color="auto" w:fill="auto"/>
            <w:vAlign w:val="center"/>
          </w:tcPr>
          <w:p w14:paraId="6CF1208D">
            <w:pPr>
              <w:spacing w:line="460" w:lineRule="exact"/>
              <w:rPr>
                <w:rFonts w:ascii="宋体" w:hAnsi="宋体" w:cs="宋体"/>
                <w:color w:val="auto"/>
                <w:szCs w:val="21"/>
                <w:highlight w:val="none"/>
              </w:rPr>
            </w:pPr>
            <w:r>
              <w:rPr>
                <w:rFonts w:ascii="宋体" w:hAnsi="宋体" w:cs="宋体"/>
                <w:color w:val="auto"/>
                <w:szCs w:val="21"/>
                <w:highlight w:val="none"/>
              </w:rPr>
              <w:t>10分</w:t>
            </w:r>
          </w:p>
        </w:tc>
      </w:tr>
      <w:tr w14:paraId="391DE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Merge w:val="continue"/>
            <w:vAlign w:val="center"/>
          </w:tcPr>
          <w:p w14:paraId="477B1659">
            <w:pPr>
              <w:spacing w:line="460" w:lineRule="exact"/>
              <w:ind w:firstLine="420"/>
              <w:rPr>
                <w:rFonts w:ascii="宋体" w:hAnsi="宋体" w:cs="宋体"/>
                <w:color w:val="auto"/>
                <w:szCs w:val="21"/>
                <w:highlight w:val="none"/>
              </w:rPr>
            </w:pPr>
          </w:p>
        </w:tc>
        <w:tc>
          <w:tcPr>
            <w:tcW w:w="596" w:type="pct"/>
            <w:vMerge w:val="continue"/>
            <w:shd w:val="clear" w:color="auto" w:fill="auto"/>
            <w:vAlign w:val="center"/>
          </w:tcPr>
          <w:p w14:paraId="4CF795E6">
            <w:pPr>
              <w:spacing w:line="460" w:lineRule="exact"/>
              <w:ind w:firstLine="420"/>
              <w:rPr>
                <w:rFonts w:ascii="宋体" w:hAnsi="宋体" w:cs="宋体"/>
                <w:color w:val="auto"/>
                <w:szCs w:val="21"/>
                <w:highlight w:val="none"/>
              </w:rPr>
            </w:pPr>
          </w:p>
        </w:tc>
        <w:tc>
          <w:tcPr>
            <w:tcW w:w="6738" w:type="dxa"/>
            <w:shd w:val="clear" w:color="auto" w:fill="auto"/>
            <w:vAlign w:val="center"/>
          </w:tcPr>
          <w:p w14:paraId="2D6EB19A">
            <w:pPr>
              <w:spacing w:line="400" w:lineRule="exact"/>
              <w:ind w:firstLine="162" w:firstLineChars="77"/>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2、组织机构设置、人员配备、培训与管理方案（10分）</w:t>
            </w:r>
          </w:p>
          <w:p w14:paraId="72E02F7B">
            <w:pPr>
              <w:spacing w:line="400" w:lineRule="exact"/>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供应商根据第四章第六条第2款要求，提供“组织机构设置、人员配备、培训与管理方案”</w:t>
            </w:r>
            <w:r>
              <w:rPr>
                <w:rFonts w:hint="eastAsia" w:ascii="宋体" w:hAnsi="宋体" w:eastAsia="宋体" w:cs="宋体"/>
                <w:color w:val="auto"/>
                <w:szCs w:val="21"/>
                <w:highlight w:val="none"/>
                <w:u w:val="single"/>
              </w:rPr>
              <w:t>包含但不限于：组织机构设置、人员配备、岗位职责、人员培训、人员管理等内容</w:t>
            </w:r>
            <w:r>
              <w:rPr>
                <w:rFonts w:hint="eastAsia" w:ascii="宋体" w:hAnsi="宋体" w:eastAsia="宋体" w:cs="宋体"/>
                <w:color w:val="auto"/>
                <w:szCs w:val="21"/>
                <w:highlight w:val="none"/>
              </w:rPr>
              <w:t>；要求，提供细致完整、措施有力、针对性和操作性强的组织机构设置、人员配备、培训与管理方案。</w:t>
            </w:r>
          </w:p>
          <w:p w14:paraId="4102C496">
            <w:pPr>
              <w:spacing w:line="400" w:lineRule="exact"/>
              <w:ind w:firstLine="369" w:firstLineChars="176"/>
              <w:rPr>
                <w:rFonts w:ascii="宋体" w:hAnsi="宋体" w:cs="宋体"/>
                <w:color w:val="auto"/>
                <w:szCs w:val="21"/>
                <w:highlight w:val="none"/>
              </w:rPr>
            </w:pPr>
            <w:r>
              <w:rPr>
                <w:rFonts w:hint="eastAsia" w:ascii="宋体" w:hAnsi="宋体" w:eastAsia="宋体" w:cs="宋体"/>
                <w:color w:val="auto"/>
                <w:szCs w:val="21"/>
                <w:highlight w:val="none"/>
                <w:lang w:val="zh-CN"/>
              </w:rPr>
              <w:t>评委根据供应商提供的</w:t>
            </w:r>
            <w:r>
              <w:rPr>
                <w:rFonts w:hint="eastAsia" w:ascii="宋体" w:hAnsi="宋体" w:eastAsia="宋体" w:cs="宋体"/>
                <w:color w:val="auto"/>
                <w:szCs w:val="21"/>
                <w:highlight w:val="none"/>
              </w:rPr>
              <w:t>方案完整性，专业性、可行性强，考虑周全，思路特别清晰，优于项目需求得，得10分；对项目总体有一定的认识，方案较为完整、细致，思路基本清晰，基本符合项目需求，得8分；</w:t>
            </w:r>
            <w:r>
              <w:rPr>
                <w:rFonts w:hint="eastAsia" w:ascii="宋体" w:hAnsi="宋体" w:eastAsia="宋体" w:cs="宋体"/>
                <w:color w:val="auto"/>
                <w:szCs w:val="21"/>
                <w:highlight w:val="none"/>
              </w:rPr>
              <w:t>方案</w:t>
            </w:r>
            <w:r>
              <w:rPr>
                <w:rFonts w:hint="eastAsia" w:ascii="宋体" w:hAnsi="宋体" w:eastAsia="宋体" w:cs="宋体"/>
                <w:color w:val="auto"/>
                <w:szCs w:val="21"/>
                <w:highlight w:val="none"/>
                <w:lang w:val="zh-CN"/>
              </w:rPr>
              <w:t>不满足本项目需求或未提供方案的得0分。</w:t>
            </w:r>
          </w:p>
        </w:tc>
        <w:tc>
          <w:tcPr>
            <w:tcW w:w="401" w:type="pct"/>
            <w:shd w:val="clear" w:color="auto" w:fill="auto"/>
            <w:vAlign w:val="center"/>
          </w:tcPr>
          <w:p w14:paraId="515474CA">
            <w:pPr>
              <w:spacing w:line="460" w:lineRule="exact"/>
              <w:rPr>
                <w:rFonts w:ascii="宋体" w:hAnsi="宋体" w:cs="宋体"/>
                <w:color w:val="auto"/>
                <w:szCs w:val="21"/>
                <w:highlight w:val="none"/>
              </w:rPr>
            </w:pPr>
            <w:r>
              <w:rPr>
                <w:rFonts w:ascii="宋体" w:hAnsi="宋体" w:cs="宋体"/>
                <w:color w:val="auto"/>
                <w:szCs w:val="21"/>
                <w:highlight w:val="none"/>
              </w:rPr>
              <w:t>10分</w:t>
            </w:r>
          </w:p>
        </w:tc>
      </w:tr>
      <w:tr w14:paraId="402D8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Merge w:val="continue"/>
            <w:vAlign w:val="center"/>
          </w:tcPr>
          <w:p w14:paraId="6E0196CD">
            <w:pPr>
              <w:spacing w:line="460" w:lineRule="exact"/>
              <w:ind w:firstLine="420"/>
              <w:rPr>
                <w:rFonts w:ascii="宋体" w:hAnsi="宋体" w:cs="宋体"/>
                <w:color w:val="auto"/>
                <w:szCs w:val="21"/>
                <w:highlight w:val="none"/>
              </w:rPr>
            </w:pPr>
          </w:p>
        </w:tc>
        <w:tc>
          <w:tcPr>
            <w:tcW w:w="596" w:type="pct"/>
            <w:vMerge w:val="continue"/>
            <w:shd w:val="clear" w:color="auto" w:fill="auto"/>
            <w:vAlign w:val="center"/>
          </w:tcPr>
          <w:p w14:paraId="7DE60CC0">
            <w:pPr>
              <w:spacing w:line="460" w:lineRule="exact"/>
              <w:ind w:firstLine="420"/>
              <w:rPr>
                <w:rFonts w:ascii="宋体" w:hAnsi="宋体" w:cs="宋体"/>
                <w:color w:val="auto"/>
                <w:szCs w:val="21"/>
                <w:highlight w:val="none"/>
              </w:rPr>
            </w:pPr>
          </w:p>
        </w:tc>
        <w:tc>
          <w:tcPr>
            <w:tcW w:w="6738" w:type="dxa"/>
            <w:shd w:val="clear" w:color="auto" w:fill="auto"/>
            <w:vAlign w:val="center"/>
          </w:tcPr>
          <w:p w14:paraId="5CEE05B3">
            <w:pPr>
              <w:spacing w:line="400" w:lineRule="exact"/>
              <w:ind w:firstLine="162" w:firstLineChars="77"/>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3、原材料安全管理方案（10分）</w:t>
            </w:r>
          </w:p>
          <w:p w14:paraId="4358DC40">
            <w:pPr>
              <w:spacing w:line="400" w:lineRule="exact"/>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供应商根据第四章第六条第3款要求，提供“原材料安全管理方案”包含但不限于：</w:t>
            </w:r>
            <w:r>
              <w:rPr>
                <w:rFonts w:hint="eastAsia" w:ascii="宋体" w:hAnsi="宋体" w:eastAsia="宋体" w:cs="宋体"/>
                <w:color w:val="auto"/>
                <w:szCs w:val="21"/>
                <w:highlight w:val="none"/>
                <w:u w:val="single"/>
              </w:rPr>
              <w:t>原材料采购方式、验货标准、登记和统计、库房管理等内容</w:t>
            </w:r>
            <w:r>
              <w:rPr>
                <w:rFonts w:hint="eastAsia" w:ascii="宋体" w:hAnsi="宋体" w:eastAsia="宋体" w:cs="宋体"/>
                <w:color w:val="auto"/>
                <w:szCs w:val="21"/>
                <w:highlight w:val="none"/>
              </w:rPr>
              <w:t>；要求，提供细致完整、措施有力、针对性和操作性强的原材料安全管理方案。</w:t>
            </w:r>
          </w:p>
          <w:p w14:paraId="131E73EF">
            <w:pPr>
              <w:spacing w:line="400" w:lineRule="exact"/>
              <w:ind w:firstLine="369" w:firstLineChars="176"/>
              <w:rPr>
                <w:rFonts w:ascii="宋体" w:hAnsi="宋体" w:cs="宋体"/>
                <w:color w:val="auto"/>
                <w:szCs w:val="21"/>
                <w:highlight w:val="none"/>
              </w:rPr>
            </w:pPr>
            <w:r>
              <w:rPr>
                <w:rFonts w:hint="eastAsia" w:ascii="宋体" w:hAnsi="宋体" w:eastAsia="宋体" w:cs="宋体"/>
                <w:color w:val="auto"/>
                <w:szCs w:val="21"/>
                <w:highlight w:val="none"/>
                <w:lang w:val="zh-CN"/>
              </w:rPr>
              <w:t>评委根据供应商提供的</w:t>
            </w:r>
            <w:r>
              <w:rPr>
                <w:rFonts w:hint="eastAsia" w:ascii="宋体" w:hAnsi="宋体" w:eastAsia="宋体" w:cs="宋体"/>
                <w:color w:val="auto"/>
                <w:szCs w:val="21"/>
                <w:highlight w:val="none"/>
              </w:rPr>
              <w:t>方案完整性，专业性、可行性强，考虑周全，思路特别清晰，优于项目需求得，得10分；对项目总体有一定的认识，方案较为完整、细致，思路基本清晰，基本符合项目需求，得8分；</w:t>
            </w:r>
            <w:r>
              <w:rPr>
                <w:rFonts w:hint="eastAsia" w:ascii="宋体" w:hAnsi="宋体" w:eastAsia="宋体" w:cs="宋体"/>
                <w:color w:val="auto"/>
                <w:szCs w:val="21"/>
                <w:highlight w:val="none"/>
              </w:rPr>
              <w:t>方案</w:t>
            </w:r>
            <w:r>
              <w:rPr>
                <w:rFonts w:hint="eastAsia" w:ascii="宋体" w:hAnsi="宋体" w:eastAsia="宋体" w:cs="宋体"/>
                <w:color w:val="auto"/>
                <w:szCs w:val="21"/>
                <w:highlight w:val="none"/>
                <w:lang w:val="zh-CN"/>
              </w:rPr>
              <w:t>不满足本项目需求或未提供方案的得0分。</w:t>
            </w:r>
          </w:p>
        </w:tc>
        <w:tc>
          <w:tcPr>
            <w:tcW w:w="401" w:type="pct"/>
            <w:shd w:val="clear" w:color="auto" w:fill="auto"/>
            <w:vAlign w:val="center"/>
          </w:tcPr>
          <w:p w14:paraId="7D9B79B6">
            <w:pPr>
              <w:spacing w:line="460" w:lineRule="exact"/>
              <w:rPr>
                <w:rFonts w:ascii="宋体" w:hAnsi="宋体" w:cs="宋体"/>
                <w:color w:val="auto"/>
                <w:szCs w:val="21"/>
                <w:highlight w:val="none"/>
              </w:rPr>
            </w:pPr>
            <w:r>
              <w:rPr>
                <w:rFonts w:ascii="宋体" w:hAnsi="宋体" w:cs="宋体"/>
                <w:color w:val="auto"/>
                <w:szCs w:val="21"/>
                <w:highlight w:val="none"/>
              </w:rPr>
              <w:t>10分</w:t>
            </w:r>
          </w:p>
        </w:tc>
      </w:tr>
      <w:tr w14:paraId="627EC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Merge w:val="continue"/>
            <w:vAlign w:val="center"/>
          </w:tcPr>
          <w:p w14:paraId="71A6A141">
            <w:pPr>
              <w:spacing w:line="460" w:lineRule="exact"/>
              <w:ind w:firstLine="420"/>
              <w:rPr>
                <w:rFonts w:ascii="宋体" w:hAnsi="宋体" w:cs="宋体"/>
                <w:color w:val="auto"/>
                <w:szCs w:val="21"/>
                <w:highlight w:val="none"/>
              </w:rPr>
            </w:pPr>
          </w:p>
        </w:tc>
        <w:tc>
          <w:tcPr>
            <w:tcW w:w="596" w:type="pct"/>
            <w:vMerge w:val="continue"/>
            <w:shd w:val="clear" w:color="auto" w:fill="auto"/>
            <w:vAlign w:val="center"/>
          </w:tcPr>
          <w:p w14:paraId="44F33008">
            <w:pPr>
              <w:spacing w:line="460" w:lineRule="exact"/>
              <w:ind w:firstLine="420"/>
              <w:rPr>
                <w:rFonts w:ascii="宋体" w:hAnsi="宋体" w:cs="宋体"/>
                <w:color w:val="auto"/>
                <w:szCs w:val="21"/>
                <w:highlight w:val="none"/>
              </w:rPr>
            </w:pPr>
          </w:p>
        </w:tc>
        <w:tc>
          <w:tcPr>
            <w:tcW w:w="6738" w:type="dxa"/>
            <w:shd w:val="clear" w:color="auto" w:fill="auto"/>
            <w:vAlign w:val="center"/>
          </w:tcPr>
          <w:p w14:paraId="089CC670">
            <w:pPr>
              <w:spacing w:line="400" w:lineRule="exact"/>
              <w:ind w:firstLine="162" w:firstLineChars="77"/>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4、食品质量、安全保障及控制方案</w:t>
            </w:r>
            <w:r>
              <w:rPr>
                <w:rFonts w:hint="eastAsia" w:ascii="宋体" w:hAnsi="宋体" w:eastAsia="宋体" w:cs="宋体"/>
                <w:b/>
                <w:bCs/>
                <w:color w:val="auto"/>
                <w:szCs w:val="21"/>
                <w:highlight w:val="none"/>
              </w:rPr>
              <w:t>（</w:t>
            </w:r>
            <w:r>
              <w:rPr>
                <w:rFonts w:ascii="宋体" w:hAnsi="宋体" w:eastAsia="宋体" w:cs="宋体"/>
                <w:b/>
                <w:bCs/>
                <w:color w:val="auto"/>
                <w:szCs w:val="21"/>
                <w:highlight w:val="none"/>
              </w:rPr>
              <w:t>11</w:t>
            </w:r>
            <w:r>
              <w:rPr>
                <w:rFonts w:hint="eastAsia" w:ascii="宋体" w:hAnsi="宋体" w:eastAsia="宋体" w:cs="宋体"/>
                <w:b/>
                <w:bCs/>
                <w:color w:val="auto"/>
                <w:szCs w:val="21"/>
                <w:highlight w:val="none"/>
              </w:rPr>
              <w:t>分）</w:t>
            </w:r>
          </w:p>
          <w:p w14:paraId="1B2818AC">
            <w:pPr>
              <w:spacing w:line="400" w:lineRule="exact"/>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供应商根据第四章第六条第4款要求，提供提供“食品质量、安全保障及控制方案”包含但不限于：</w:t>
            </w:r>
            <w:r>
              <w:rPr>
                <w:rFonts w:hint="eastAsia" w:ascii="宋体" w:hAnsi="宋体" w:eastAsia="宋体" w:cs="宋体"/>
                <w:color w:val="auto"/>
                <w:szCs w:val="21"/>
                <w:highlight w:val="none"/>
                <w:u w:val="single"/>
              </w:rPr>
              <w:t>食品质量、食品保温、食品保鲜、食品储存、剩余食品处理、食品留样制度、餐厅卫生管理、食品安全保障等内容</w:t>
            </w:r>
            <w:r>
              <w:rPr>
                <w:rFonts w:hint="eastAsia" w:ascii="宋体" w:hAnsi="宋体" w:eastAsia="宋体" w:cs="宋体"/>
                <w:color w:val="auto"/>
                <w:szCs w:val="21"/>
                <w:highlight w:val="none"/>
              </w:rPr>
              <w:t>；要求，提供细致完整、措施有力、针对性和操作性强的食品质量、安全保障及控制方案。</w:t>
            </w:r>
          </w:p>
          <w:p w14:paraId="0504221A">
            <w:pPr>
              <w:spacing w:line="400" w:lineRule="exact"/>
              <w:ind w:firstLine="161" w:firstLineChars="77"/>
              <w:rPr>
                <w:rFonts w:ascii="宋体" w:hAnsi="宋体" w:cs="宋体"/>
                <w:color w:val="auto"/>
                <w:szCs w:val="21"/>
                <w:highlight w:val="none"/>
              </w:rPr>
            </w:pPr>
            <w:r>
              <w:rPr>
                <w:rFonts w:hint="eastAsia" w:ascii="宋体" w:hAnsi="宋体" w:eastAsia="宋体" w:cs="宋体"/>
                <w:color w:val="auto"/>
                <w:szCs w:val="21"/>
                <w:highlight w:val="none"/>
                <w:lang w:val="zh-CN"/>
              </w:rPr>
              <w:t>评委根据供应商提供的</w:t>
            </w:r>
            <w:r>
              <w:rPr>
                <w:rFonts w:hint="eastAsia" w:ascii="宋体" w:hAnsi="宋体" w:eastAsia="宋体" w:cs="宋体"/>
                <w:color w:val="auto"/>
                <w:szCs w:val="21"/>
                <w:highlight w:val="none"/>
              </w:rPr>
              <w:t>方案完整性，专业性、可行性强，考虑周全，思路特别清晰，优于项目需求得，得</w:t>
            </w:r>
            <w:r>
              <w:rPr>
                <w:rFonts w:ascii="宋体" w:hAnsi="宋体" w:eastAsia="宋体" w:cs="宋体"/>
                <w:color w:val="auto"/>
                <w:szCs w:val="21"/>
                <w:highlight w:val="none"/>
              </w:rPr>
              <w:t>11</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rPr>
              <w:t>；对项目总体有一定的认识，方案较为完整、细致，思路基本清晰，基本符合项目需求，得</w:t>
            </w:r>
            <w:r>
              <w:rPr>
                <w:rFonts w:ascii="宋体" w:hAnsi="宋体" w:eastAsia="宋体" w:cs="宋体"/>
                <w:color w:val="auto"/>
                <w:szCs w:val="21"/>
                <w:highlight w:val="none"/>
              </w:rPr>
              <w:t>9</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rPr>
              <w:t>方案</w:t>
            </w:r>
            <w:r>
              <w:rPr>
                <w:rFonts w:hint="eastAsia" w:ascii="宋体" w:hAnsi="宋体" w:eastAsia="宋体" w:cs="宋体"/>
                <w:color w:val="auto"/>
                <w:szCs w:val="21"/>
                <w:highlight w:val="none"/>
                <w:lang w:val="zh-CN"/>
              </w:rPr>
              <w:t>不满足本项目需求或未提供方案的得0分。</w:t>
            </w:r>
          </w:p>
        </w:tc>
        <w:tc>
          <w:tcPr>
            <w:tcW w:w="401" w:type="pct"/>
            <w:shd w:val="clear" w:color="auto" w:fill="auto"/>
            <w:vAlign w:val="center"/>
          </w:tcPr>
          <w:p w14:paraId="76EEE88E">
            <w:pPr>
              <w:spacing w:line="460" w:lineRule="exact"/>
              <w:rPr>
                <w:rFonts w:ascii="宋体" w:hAnsi="宋体" w:cs="宋体"/>
                <w:color w:val="auto"/>
                <w:szCs w:val="21"/>
                <w:highlight w:val="none"/>
              </w:rPr>
            </w:pPr>
            <w:r>
              <w:rPr>
                <w:rFonts w:ascii="宋体" w:hAnsi="宋体" w:cs="宋体"/>
                <w:color w:val="auto"/>
                <w:szCs w:val="21"/>
                <w:highlight w:val="none"/>
              </w:rPr>
              <w:t>11分</w:t>
            </w:r>
          </w:p>
        </w:tc>
      </w:tr>
      <w:tr w14:paraId="5B485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Merge w:val="continue"/>
            <w:vAlign w:val="center"/>
          </w:tcPr>
          <w:p w14:paraId="5AF84649">
            <w:pPr>
              <w:spacing w:line="460" w:lineRule="exact"/>
              <w:ind w:firstLine="420"/>
              <w:rPr>
                <w:rFonts w:ascii="宋体" w:hAnsi="宋体" w:cs="宋体"/>
                <w:color w:val="auto"/>
                <w:szCs w:val="21"/>
                <w:highlight w:val="none"/>
              </w:rPr>
            </w:pPr>
          </w:p>
        </w:tc>
        <w:tc>
          <w:tcPr>
            <w:tcW w:w="596" w:type="pct"/>
            <w:vMerge w:val="continue"/>
            <w:shd w:val="clear" w:color="auto" w:fill="auto"/>
            <w:vAlign w:val="center"/>
          </w:tcPr>
          <w:p w14:paraId="20038F6E">
            <w:pPr>
              <w:spacing w:line="460" w:lineRule="exact"/>
              <w:ind w:firstLine="420"/>
              <w:rPr>
                <w:rFonts w:ascii="宋体" w:hAnsi="宋体" w:cs="宋体"/>
                <w:color w:val="auto"/>
                <w:szCs w:val="21"/>
                <w:highlight w:val="none"/>
              </w:rPr>
            </w:pPr>
          </w:p>
        </w:tc>
        <w:tc>
          <w:tcPr>
            <w:tcW w:w="6738" w:type="dxa"/>
            <w:shd w:val="clear" w:color="auto" w:fill="auto"/>
            <w:vAlign w:val="center"/>
          </w:tcPr>
          <w:p w14:paraId="38CB2C2E">
            <w:pPr>
              <w:spacing w:line="400" w:lineRule="exact"/>
              <w:ind w:firstLine="162" w:firstLineChars="77"/>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5、突发事件，应急预案</w:t>
            </w:r>
            <w:r>
              <w:rPr>
                <w:rFonts w:hint="eastAsia" w:ascii="宋体" w:hAnsi="宋体" w:eastAsia="宋体" w:cs="宋体"/>
                <w:b/>
                <w:bCs/>
                <w:color w:val="auto"/>
                <w:szCs w:val="21"/>
                <w:highlight w:val="none"/>
              </w:rPr>
              <w:t>（</w:t>
            </w:r>
            <w:r>
              <w:rPr>
                <w:rFonts w:ascii="宋体" w:hAnsi="宋体" w:eastAsia="宋体" w:cs="宋体"/>
                <w:b/>
                <w:bCs/>
                <w:color w:val="auto"/>
                <w:szCs w:val="21"/>
                <w:highlight w:val="none"/>
              </w:rPr>
              <w:t>11</w:t>
            </w:r>
            <w:r>
              <w:rPr>
                <w:rFonts w:hint="eastAsia" w:ascii="宋体" w:hAnsi="宋体" w:eastAsia="宋体" w:cs="宋体"/>
                <w:b/>
                <w:bCs/>
                <w:color w:val="auto"/>
                <w:szCs w:val="21"/>
                <w:highlight w:val="none"/>
              </w:rPr>
              <w:t>分）</w:t>
            </w:r>
          </w:p>
          <w:p w14:paraId="4B9DA6F8">
            <w:pPr>
              <w:spacing w:line="400" w:lineRule="exact"/>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供应商根据第四章第六条第5款要求，提供“突发事件，应急预案”包含但不限于：</w:t>
            </w:r>
            <w:r>
              <w:rPr>
                <w:rFonts w:hint="eastAsia" w:ascii="宋体" w:hAnsi="宋体" w:eastAsia="宋体" w:cs="宋体"/>
                <w:color w:val="auto"/>
                <w:szCs w:val="21"/>
                <w:highlight w:val="none"/>
                <w:u w:val="single"/>
              </w:rPr>
              <w:t>餐厅停水（停电）停气紧急情况处理措施、火灾应急预案处理、食物中毒应急方案、意外受伤处理预案、紧急供餐应急方案等内容</w:t>
            </w:r>
            <w:r>
              <w:rPr>
                <w:rFonts w:hint="eastAsia" w:ascii="宋体" w:hAnsi="宋体" w:eastAsia="宋体" w:cs="宋体"/>
                <w:color w:val="auto"/>
                <w:szCs w:val="21"/>
                <w:highlight w:val="none"/>
              </w:rPr>
              <w:t>；要求，提供细致完整、措施有力、针对性和操作性强的突发事件，应急预案方案。</w:t>
            </w:r>
          </w:p>
          <w:p w14:paraId="78926AC3">
            <w:pPr>
              <w:spacing w:line="400" w:lineRule="exact"/>
              <w:ind w:firstLine="161" w:firstLineChars="77"/>
              <w:rPr>
                <w:rFonts w:hAnsi="宋体" w:cs="宋体"/>
                <w:color w:val="auto"/>
                <w:szCs w:val="21"/>
                <w:highlight w:val="none"/>
              </w:rPr>
            </w:pPr>
            <w:r>
              <w:rPr>
                <w:rFonts w:hint="eastAsia" w:ascii="宋体" w:hAnsi="宋体" w:eastAsia="宋体" w:cs="宋体"/>
                <w:color w:val="auto"/>
                <w:szCs w:val="21"/>
                <w:highlight w:val="none"/>
                <w:lang w:val="zh-CN"/>
              </w:rPr>
              <w:t>评委根据供应商提供的</w:t>
            </w:r>
            <w:r>
              <w:rPr>
                <w:rFonts w:hint="eastAsia" w:ascii="宋体" w:hAnsi="宋体" w:eastAsia="宋体" w:cs="宋体"/>
                <w:color w:val="auto"/>
                <w:szCs w:val="21"/>
                <w:highlight w:val="none"/>
              </w:rPr>
              <w:t>方案完整性，专业性、可行性强，考虑周全，思路特别清晰，优于项目需求得，得</w:t>
            </w:r>
            <w:r>
              <w:rPr>
                <w:rFonts w:hint="eastAsia" w:ascii="宋体" w:hAnsi="宋体" w:eastAsia="宋体" w:cs="宋体"/>
                <w:color w:val="auto"/>
                <w:szCs w:val="21"/>
                <w:highlight w:val="none"/>
              </w:rPr>
              <w:t>1</w:t>
            </w:r>
            <w:r>
              <w:rPr>
                <w:rFonts w:ascii="宋体" w:hAnsi="宋体" w:eastAsia="宋体" w:cs="宋体"/>
                <w:color w:val="auto"/>
                <w:szCs w:val="21"/>
                <w:highlight w:val="none"/>
              </w:rPr>
              <w:t>1</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rPr>
              <w:t>；对项目总体有一定的认识，方案较为完整、细致，思路基本清晰，基本符合项目需求，得</w:t>
            </w:r>
            <w:r>
              <w:rPr>
                <w:rFonts w:ascii="宋体" w:hAnsi="宋体" w:eastAsia="宋体" w:cs="宋体"/>
                <w:color w:val="auto"/>
                <w:szCs w:val="21"/>
                <w:highlight w:val="none"/>
              </w:rPr>
              <w:t>9</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rPr>
              <w:t>方案</w:t>
            </w:r>
            <w:r>
              <w:rPr>
                <w:rFonts w:hint="eastAsia" w:ascii="宋体" w:hAnsi="宋体" w:eastAsia="宋体" w:cs="宋体"/>
                <w:color w:val="auto"/>
                <w:szCs w:val="21"/>
                <w:highlight w:val="none"/>
                <w:lang w:val="zh-CN"/>
              </w:rPr>
              <w:t>不满足本项目需求或未提供方案的得0分。</w:t>
            </w:r>
          </w:p>
        </w:tc>
        <w:tc>
          <w:tcPr>
            <w:tcW w:w="401" w:type="pct"/>
            <w:shd w:val="clear" w:color="auto" w:fill="auto"/>
            <w:vAlign w:val="center"/>
          </w:tcPr>
          <w:p w14:paraId="72274F95">
            <w:pPr>
              <w:spacing w:line="460" w:lineRule="exact"/>
              <w:rPr>
                <w:rFonts w:ascii="宋体" w:hAnsi="宋体" w:cs="宋体"/>
                <w:color w:val="auto"/>
                <w:szCs w:val="21"/>
                <w:highlight w:val="none"/>
              </w:rPr>
            </w:pPr>
            <w:r>
              <w:rPr>
                <w:rFonts w:ascii="宋体" w:hAnsi="宋体" w:cs="宋体"/>
                <w:color w:val="auto"/>
                <w:szCs w:val="21"/>
                <w:highlight w:val="none"/>
              </w:rPr>
              <w:t>11分</w:t>
            </w:r>
          </w:p>
        </w:tc>
      </w:tr>
    </w:tbl>
    <w:p w14:paraId="1E66599C">
      <w:pPr>
        <w:pStyle w:val="10"/>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794D56A2">
      <w:pPr>
        <w:pStyle w:val="10"/>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366B8360">
      <w:pPr>
        <w:pStyle w:val="10"/>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46A197F6">
      <w:pPr>
        <w:pStyle w:val="10"/>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692B0321">
      <w:pPr>
        <w:pStyle w:val="10"/>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082B26D3">
      <w:pPr>
        <w:pStyle w:val="10"/>
        <w:spacing w:beforeAutospacing="0" w:afterAutospacing="0"/>
        <w:jc w:val="both"/>
        <w:rPr>
          <w:rFonts w:ascii="仿宋" w:hAnsi="仿宋" w:eastAsia="仿宋" w:cs="仿宋"/>
          <w:color w:val="auto"/>
          <w:highlight w:val="none"/>
        </w:rPr>
      </w:pPr>
      <w:r>
        <w:rPr>
          <w:rFonts w:hint="eastAsia" w:ascii="仿宋" w:hAnsi="仿宋" w:eastAsia="仿宋" w:cs="仿宋"/>
          <w:color w:val="auto"/>
          <w:highlight w:val="none"/>
        </w:rPr>
        <w:t> </w:t>
      </w:r>
    </w:p>
    <w:p w14:paraId="11499B1B">
      <w:pPr>
        <w:pStyle w:val="10"/>
        <w:spacing w:beforeAutospacing="0" w:afterAutospacing="0"/>
        <w:jc w:val="both"/>
        <w:rPr>
          <w:rFonts w:ascii="仿宋" w:hAnsi="仿宋" w:eastAsia="仿宋" w:cs="仿宋"/>
          <w:color w:val="auto"/>
          <w:highlight w:val="none"/>
        </w:rPr>
      </w:pPr>
      <w:r>
        <w:rPr>
          <w:rFonts w:hint="eastAsia" w:ascii="仿宋" w:hAnsi="仿宋" w:eastAsia="仿宋" w:cs="仿宋"/>
          <w:color w:val="auto"/>
          <w:highlight w:val="none"/>
        </w:rPr>
        <w:t> </w:t>
      </w:r>
    </w:p>
    <w:p w14:paraId="1D90C609">
      <w:pPr>
        <w:pStyle w:val="10"/>
        <w:spacing w:beforeAutospacing="0" w:afterAutospacing="0"/>
        <w:jc w:val="both"/>
        <w:rPr>
          <w:rFonts w:ascii="仿宋" w:hAnsi="仿宋" w:eastAsia="仿宋" w:cs="仿宋"/>
          <w:color w:val="auto"/>
          <w:highlight w:val="none"/>
        </w:rPr>
      </w:pPr>
      <w:r>
        <w:rPr>
          <w:rFonts w:hint="eastAsia" w:ascii="仿宋" w:hAnsi="仿宋" w:eastAsia="仿宋" w:cs="仿宋"/>
          <w:color w:val="auto"/>
          <w:highlight w:val="none"/>
        </w:rPr>
        <w:t> </w:t>
      </w:r>
    </w:p>
    <w:p w14:paraId="653A34CB">
      <w:pPr>
        <w:pStyle w:val="10"/>
        <w:spacing w:beforeAutospacing="0" w:afterAutospacing="0"/>
        <w:jc w:val="both"/>
        <w:rPr>
          <w:rFonts w:ascii="仿宋" w:hAnsi="仿宋" w:eastAsia="仿宋" w:cs="仿宋"/>
          <w:color w:val="auto"/>
          <w:highlight w:val="none"/>
        </w:rPr>
      </w:pPr>
      <w:r>
        <w:rPr>
          <w:rFonts w:hint="eastAsia" w:ascii="仿宋" w:hAnsi="仿宋" w:eastAsia="仿宋" w:cs="仿宋"/>
          <w:color w:val="auto"/>
          <w:highlight w:val="none"/>
        </w:rPr>
        <w:t> </w:t>
      </w:r>
    </w:p>
    <w:p w14:paraId="6C1F0B1D">
      <w:pPr>
        <w:pStyle w:val="10"/>
        <w:spacing w:beforeAutospacing="0" w:afterAutospacing="0"/>
        <w:jc w:val="both"/>
        <w:rPr>
          <w:rFonts w:ascii="仿宋" w:hAnsi="仿宋" w:eastAsia="仿宋" w:cs="仿宋"/>
          <w:color w:val="auto"/>
          <w:highlight w:val="none"/>
        </w:rPr>
      </w:pPr>
      <w:r>
        <w:rPr>
          <w:rFonts w:hint="eastAsia" w:ascii="仿宋" w:hAnsi="仿宋" w:eastAsia="仿宋" w:cs="仿宋"/>
          <w:color w:val="auto"/>
          <w:highlight w:val="none"/>
        </w:rPr>
        <w:t> </w:t>
      </w:r>
    </w:p>
    <w:p w14:paraId="59785FB0">
      <w:pPr>
        <w:pStyle w:val="10"/>
        <w:spacing w:beforeAutospacing="0" w:afterAutospacing="0"/>
        <w:jc w:val="both"/>
        <w:rPr>
          <w:color w:val="auto"/>
          <w:highlight w:val="none"/>
        </w:rPr>
      </w:pPr>
      <w:r>
        <w:rPr>
          <w:color w:val="auto"/>
          <w:highlight w:val="none"/>
        </w:rPr>
        <w:t> </w:t>
      </w:r>
    </w:p>
    <w:p w14:paraId="00A2BAFA">
      <w:pPr>
        <w:pStyle w:val="10"/>
        <w:spacing w:beforeAutospacing="0" w:afterAutospacing="0"/>
        <w:jc w:val="both"/>
        <w:rPr>
          <w:color w:val="auto"/>
          <w:highlight w:val="none"/>
        </w:rPr>
      </w:pPr>
      <w:r>
        <w:rPr>
          <w:color w:val="auto"/>
          <w:highlight w:val="none"/>
        </w:rPr>
        <w:t> </w:t>
      </w:r>
    </w:p>
    <w:p w14:paraId="10AAE876">
      <w:pPr>
        <w:pStyle w:val="10"/>
        <w:spacing w:beforeAutospacing="0" w:afterAutospacing="0"/>
        <w:jc w:val="both"/>
        <w:rPr>
          <w:color w:val="auto"/>
          <w:highlight w:val="none"/>
        </w:rPr>
      </w:pPr>
      <w:r>
        <w:rPr>
          <w:color w:val="auto"/>
          <w:highlight w:val="none"/>
        </w:rPr>
        <w:t> </w:t>
      </w:r>
    </w:p>
    <w:p w14:paraId="180ADF08">
      <w:pPr>
        <w:pStyle w:val="10"/>
        <w:spacing w:beforeAutospacing="0" w:afterAutospacing="0"/>
        <w:jc w:val="both"/>
        <w:rPr>
          <w:color w:val="auto"/>
          <w:highlight w:val="none"/>
        </w:rPr>
      </w:pPr>
      <w:r>
        <w:rPr>
          <w:color w:val="auto"/>
          <w:highlight w:val="none"/>
        </w:rPr>
        <w:t> </w:t>
      </w:r>
    </w:p>
    <w:p w14:paraId="3D234415">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1B690A39">
      <w:pPr>
        <w:pStyle w:val="10"/>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响应文件格式 </w:t>
      </w:r>
    </w:p>
    <w:p w14:paraId="5AF686D5">
      <w:pPr>
        <w:pStyle w:val="10"/>
        <w:spacing w:beforeAutospacing="0" w:afterAutospacing="0"/>
        <w:jc w:val="center"/>
        <w:rPr>
          <w:color w:val="auto"/>
          <w:highlight w:val="none"/>
        </w:rPr>
      </w:pPr>
      <w:bookmarkStart w:id="167" w:name="_Toc120614282"/>
      <w:bookmarkEnd w:id="167"/>
      <w:bookmarkStart w:id="168" w:name="_Toc49090576"/>
      <w:bookmarkEnd w:id="168"/>
      <w:bookmarkStart w:id="169" w:name="_Toc26554094"/>
      <w:bookmarkStart w:id="170" w:name="_Hlt26955039"/>
      <w:bookmarkStart w:id="171" w:name="_Hlt26671244"/>
      <w:r>
        <w:rPr>
          <w:rFonts w:hint="eastAsia" w:ascii="宋体" w:hAnsi="宋体" w:eastAsia="宋体" w:cs="宋体"/>
          <w:b/>
          <w:color w:val="auto"/>
          <w:sz w:val="72"/>
          <w:szCs w:val="72"/>
          <w:highlight w:val="none"/>
        </w:rPr>
        <w:t>响  应  文  件</w:t>
      </w:r>
    </w:p>
    <w:p w14:paraId="115CD384">
      <w:pPr>
        <w:pStyle w:val="10"/>
        <w:spacing w:beforeAutospacing="0" w:afterAutospacing="0"/>
        <w:jc w:val="center"/>
        <w:rPr>
          <w:color w:val="auto"/>
          <w:highlight w:val="none"/>
        </w:rPr>
      </w:pPr>
      <w:r>
        <w:rPr>
          <w:color w:val="auto"/>
          <w:highlight w:val="none"/>
        </w:rPr>
        <w:t> </w:t>
      </w:r>
    </w:p>
    <w:p w14:paraId="51BB14D4">
      <w:pPr>
        <w:pStyle w:val="10"/>
        <w:spacing w:beforeAutospacing="0" w:afterAutospacing="0"/>
        <w:jc w:val="center"/>
        <w:rPr>
          <w:color w:val="auto"/>
          <w:highlight w:val="none"/>
        </w:rPr>
      </w:pPr>
      <w:r>
        <w:rPr>
          <w:color w:val="auto"/>
          <w:highlight w:val="none"/>
        </w:rPr>
        <w:t> </w:t>
      </w:r>
    </w:p>
    <w:p w14:paraId="32E70BBA">
      <w:pPr>
        <w:pStyle w:val="10"/>
        <w:spacing w:beforeAutospacing="0" w:afterAutospacing="0"/>
        <w:jc w:val="center"/>
        <w:rPr>
          <w:color w:val="auto"/>
          <w:highlight w:val="none"/>
        </w:rPr>
      </w:pPr>
      <w:r>
        <w:rPr>
          <w:color w:val="auto"/>
          <w:highlight w:val="none"/>
        </w:rPr>
        <w:t> </w:t>
      </w:r>
    </w:p>
    <w:p w14:paraId="68F58724">
      <w:pPr>
        <w:pStyle w:val="10"/>
        <w:spacing w:beforeAutospacing="0" w:afterAutospacing="0"/>
        <w:jc w:val="center"/>
        <w:rPr>
          <w:color w:val="auto"/>
          <w:highlight w:val="none"/>
        </w:rPr>
      </w:pPr>
      <w:r>
        <w:rPr>
          <w:color w:val="auto"/>
          <w:highlight w:val="none"/>
        </w:rPr>
        <w:t> </w:t>
      </w:r>
    </w:p>
    <w:p w14:paraId="19DFB57E">
      <w:pPr>
        <w:pStyle w:val="10"/>
        <w:spacing w:beforeAutospacing="0" w:afterAutospacing="0"/>
        <w:jc w:val="center"/>
        <w:rPr>
          <w:color w:val="auto"/>
          <w:highlight w:val="none"/>
        </w:rPr>
      </w:pPr>
      <w:r>
        <w:rPr>
          <w:color w:val="auto"/>
          <w:highlight w:val="none"/>
        </w:rPr>
        <w:t> </w:t>
      </w:r>
    </w:p>
    <w:p w14:paraId="502D6093">
      <w:pPr>
        <w:pStyle w:val="10"/>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xml:space="preserve">               </w:t>
      </w:r>
    </w:p>
    <w:p w14:paraId="26FEF7D8">
      <w:pPr>
        <w:pStyle w:val="10"/>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xml:space="preserve">               </w:t>
      </w:r>
    </w:p>
    <w:p w14:paraId="7B7C363E">
      <w:pPr>
        <w:pStyle w:val="10"/>
        <w:spacing w:beforeAutospacing="0" w:afterAutospacing="0"/>
        <w:jc w:val="both"/>
        <w:rPr>
          <w:rFonts w:eastAsia="宋体"/>
          <w:color w:val="auto"/>
          <w:highlight w:val="none"/>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 xml:space="preserve">（加盖CA电子公章）        </w:t>
      </w:r>
    </w:p>
    <w:p w14:paraId="22BD6A5B">
      <w:pPr>
        <w:pStyle w:val="10"/>
        <w:spacing w:beforeAutospacing="0" w:afterAutospacing="0"/>
        <w:jc w:val="both"/>
        <w:rPr>
          <w:rFonts w:eastAsia="宋体"/>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xml:space="preserve">                </w:t>
      </w:r>
    </w:p>
    <w:p w14:paraId="4146A9A5">
      <w:pPr>
        <w:pStyle w:val="10"/>
        <w:spacing w:beforeAutospacing="0" w:afterAutospacing="0" w:line="0" w:lineRule="atLeast"/>
        <w:jc w:val="center"/>
        <w:rPr>
          <w:color w:val="auto"/>
          <w:highlight w:val="none"/>
        </w:rPr>
      </w:pPr>
      <w:r>
        <w:rPr>
          <w:color w:val="auto"/>
          <w:highlight w:val="none"/>
        </w:rPr>
        <w:t> </w:t>
      </w:r>
    </w:p>
    <w:p w14:paraId="7517C865">
      <w:pPr>
        <w:pStyle w:val="10"/>
        <w:spacing w:beforeAutospacing="0" w:afterAutospacing="0" w:line="0" w:lineRule="atLeast"/>
        <w:jc w:val="center"/>
        <w:rPr>
          <w:rFonts w:ascii="宋体" w:hAnsi="宋体" w:eastAsia="宋体" w:cs="宋体"/>
          <w:b/>
          <w:color w:val="auto"/>
          <w:sz w:val="32"/>
          <w:szCs w:val="32"/>
          <w:highlight w:val="none"/>
        </w:rPr>
      </w:pPr>
    </w:p>
    <w:p w14:paraId="465CC484">
      <w:pPr>
        <w:pStyle w:val="10"/>
        <w:spacing w:beforeAutospacing="0" w:afterAutospacing="0" w:line="0" w:lineRule="atLeast"/>
        <w:jc w:val="center"/>
        <w:rPr>
          <w:rFonts w:ascii="宋体" w:hAnsi="宋体" w:eastAsia="宋体" w:cs="宋体"/>
          <w:b/>
          <w:color w:val="auto"/>
          <w:sz w:val="32"/>
          <w:szCs w:val="32"/>
          <w:highlight w:val="none"/>
        </w:rPr>
      </w:pPr>
    </w:p>
    <w:p w14:paraId="5C0B7A81">
      <w:pPr>
        <w:pStyle w:val="10"/>
        <w:spacing w:beforeAutospacing="0" w:afterAutospacing="0" w:line="0" w:lineRule="atLeast"/>
        <w:jc w:val="center"/>
        <w:rPr>
          <w:rFonts w:ascii="宋体" w:hAnsi="宋体" w:eastAsia="宋体" w:cs="宋体"/>
          <w:b/>
          <w:color w:val="auto"/>
          <w:sz w:val="32"/>
          <w:szCs w:val="32"/>
          <w:highlight w:val="none"/>
        </w:rPr>
      </w:pPr>
    </w:p>
    <w:p w14:paraId="3E140484">
      <w:pPr>
        <w:pStyle w:val="10"/>
        <w:spacing w:beforeAutospacing="0" w:afterAutospacing="0" w:line="0" w:lineRule="atLeast"/>
        <w:jc w:val="center"/>
        <w:rPr>
          <w:rFonts w:ascii="宋体" w:hAnsi="宋体" w:eastAsia="宋体" w:cs="宋体"/>
          <w:b/>
          <w:color w:val="auto"/>
          <w:sz w:val="32"/>
          <w:szCs w:val="32"/>
          <w:highlight w:val="none"/>
        </w:rPr>
      </w:pPr>
    </w:p>
    <w:p w14:paraId="32529CB3">
      <w:pPr>
        <w:pStyle w:val="10"/>
        <w:spacing w:beforeAutospacing="0" w:afterAutospacing="0" w:line="0" w:lineRule="atLeast"/>
        <w:jc w:val="center"/>
        <w:rPr>
          <w:rFonts w:ascii="宋体" w:hAnsi="宋体" w:eastAsia="宋体" w:cs="宋体"/>
          <w:b/>
          <w:color w:val="auto"/>
          <w:sz w:val="32"/>
          <w:szCs w:val="32"/>
          <w:highlight w:val="none"/>
        </w:rPr>
      </w:pPr>
    </w:p>
    <w:p w14:paraId="1EFA9249">
      <w:pPr>
        <w:pStyle w:val="10"/>
        <w:spacing w:beforeAutospacing="0" w:afterAutospacing="0" w:line="0" w:lineRule="atLeast"/>
        <w:jc w:val="center"/>
        <w:rPr>
          <w:rFonts w:ascii="宋体" w:hAnsi="宋体" w:eastAsia="宋体" w:cs="宋体"/>
          <w:b/>
          <w:color w:val="auto"/>
          <w:sz w:val="32"/>
          <w:szCs w:val="32"/>
          <w:highlight w:val="none"/>
        </w:rPr>
      </w:pPr>
    </w:p>
    <w:p w14:paraId="334EBA78">
      <w:pPr>
        <w:pStyle w:val="10"/>
        <w:spacing w:beforeAutospacing="0" w:afterAutospacing="0" w:line="0" w:lineRule="atLeast"/>
        <w:jc w:val="center"/>
        <w:rPr>
          <w:rFonts w:ascii="宋体" w:hAnsi="宋体" w:eastAsia="宋体" w:cs="宋体"/>
          <w:b/>
          <w:color w:val="auto"/>
          <w:sz w:val="32"/>
          <w:szCs w:val="32"/>
          <w:highlight w:val="none"/>
        </w:rPr>
      </w:pPr>
    </w:p>
    <w:p w14:paraId="0D920710">
      <w:pPr>
        <w:pStyle w:val="10"/>
        <w:spacing w:beforeAutospacing="0" w:afterAutospacing="0" w:line="0" w:lineRule="atLeast"/>
        <w:jc w:val="center"/>
        <w:rPr>
          <w:rFonts w:ascii="宋体" w:hAnsi="宋体" w:eastAsia="宋体" w:cs="宋体"/>
          <w:b/>
          <w:color w:val="auto"/>
          <w:sz w:val="32"/>
          <w:szCs w:val="32"/>
          <w:highlight w:val="none"/>
        </w:rPr>
      </w:pPr>
    </w:p>
    <w:p w14:paraId="6F3BE31D">
      <w:pPr>
        <w:pStyle w:val="10"/>
        <w:spacing w:beforeAutospacing="0" w:afterAutospacing="0" w:line="0" w:lineRule="atLeast"/>
        <w:jc w:val="center"/>
        <w:rPr>
          <w:rFonts w:ascii="宋体" w:hAnsi="宋体" w:eastAsia="宋体" w:cs="宋体"/>
          <w:b/>
          <w:color w:val="auto"/>
          <w:sz w:val="32"/>
          <w:szCs w:val="32"/>
          <w:highlight w:val="none"/>
        </w:rPr>
      </w:pPr>
    </w:p>
    <w:p w14:paraId="37DFFD03">
      <w:pPr>
        <w:pStyle w:val="10"/>
        <w:spacing w:beforeAutospacing="0" w:afterAutospacing="0" w:line="0" w:lineRule="atLeast"/>
        <w:jc w:val="center"/>
        <w:rPr>
          <w:rFonts w:ascii="宋体" w:hAnsi="宋体" w:eastAsia="宋体" w:cs="宋体"/>
          <w:b/>
          <w:color w:val="auto"/>
          <w:sz w:val="32"/>
          <w:szCs w:val="32"/>
          <w:highlight w:val="none"/>
        </w:rPr>
      </w:pPr>
    </w:p>
    <w:p w14:paraId="532FF12D">
      <w:pPr>
        <w:pStyle w:val="10"/>
        <w:spacing w:beforeAutospacing="0" w:afterAutospacing="0" w:line="0" w:lineRule="atLeast"/>
        <w:jc w:val="center"/>
        <w:rPr>
          <w:rFonts w:ascii="宋体" w:hAnsi="宋体" w:eastAsia="宋体" w:cs="宋体"/>
          <w:b/>
          <w:color w:val="auto"/>
          <w:sz w:val="32"/>
          <w:szCs w:val="32"/>
          <w:highlight w:val="none"/>
        </w:rPr>
      </w:pPr>
    </w:p>
    <w:p w14:paraId="5B180F80">
      <w:pPr>
        <w:pStyle w:val="10"/>
        <w:spacing w:beforeAutospacing="0" w:afterAutospacing="0" w:line="0" w:lineRule="atLeast"/>
        <w:jc w:val="center"/>
        <w:rPr>
          <w:rFonts w:ascii="宋体" w:hAnsi="宋体" w:eastAsia="宋体" w:cs="宋体"/>
          <w:b/>
          <w:color w:val="auto"/>
          <w:sz w:val="32"/>
          <w:szCs w:val="32"/>
          <w:highlight w:val="none"/>
        </w:rPr>
      </w:pPr>
    </w:p>
    <w:p w14:paraId="55FFBCA2">
      <w:pPr>
        <w:pStyle w:val="10"/>
        <w:spacing w:beforeAutospacing="0" w:afterAutospacing="0" w:line="0" w:lineRule="atLeast"/>
        <w:jc w:val="center"/>
        <w:rPr>
          <w:rFonts w:ascii="宋体" w:hAnsi="宋体" w:eastAsia="宋体" w:cs="宋体"/>
          <w:b/>
          <w:color w:val="auto"/>
          <w:sz w:val="32"/>
          <w:szCs w:val="32"/>
          <w:highlight w:val="none"/>
        </w:rPr>
      </w:pPr>
    </w:p>
    <w:p w14:paraId="20CCD124">
      <w:pPr>
        <w:pStyle w:val="10"/>
        <w:spacing w:beforeAutospacing="0" w:afterAutospacing="0" w:line="0" w:lineRule="atLeast"/>
        <w:jc w:val="center"/>
        <w:rPr>
          <w:rFonts w:ascii="宋体" w:hAnsi="宋体" w:eastAsia="宋体" w:cs="宋体"/>
          <w:b/>
          <w:color w:val="auto"/>
          <w:sz w:val="32"/>
          <w:szCs w:val="32"/>
          <w:highlight w:val="none"/>
        </w:rPr>
      </w:pPr>
    </w:p>
    <w:p w14:paraId="508E7CC5">
      <w:pPr>
        <w:pStyle w:val="10"/>
        <w:spacing w:beforeAutospacing="0" w:afterAutospacing="0" w:line="0" w:lineRule="atLeast"/>
        <w:jc w:val="center"/>
        <w:rPr>
          <w:rFonts w:ascii="宋体" w:hAnsi="宋体" w:eastAsia="宋体" w:cs="宋体"/>
          <w:b/>
          <w:color w:val="auto"/>
          <w:sz w:val="32"/>
          <w:szCs w:val="32"/>
          <w:highlight w:val="none"/>
        </w:rPr>
      </w:pPr>
    </w:p>
    <w:p w14:paraId="1A4BDBFE">
      <w:pPr>
        <w:pStyle w:val="10"/>
        <w:spacing w:beforeAutospacing="0" w:afterAutospacing="0" w:line="0" w:lineRule="atLeast"/>
        <w:jc w:val="center"/>
        <w:rPr>
          <w:rFonts w:ascii="宋体" w:hAnsi="宋体" w:eastAsia="宋体" w:cs="宋体"/>
          <w:b/>
          <w:color w:val="auto"/>
          <w:sz w:val="32"/>
          <w:szCs w:val="32"/>
          <w:highlight w:val="none"/>
        </w:rPr>
      </w:pPr>
    </w:p>
    <w:p w14:paraId="304C556F">
      <w:pPr>
        <w:pStyle w:val="10"/>
        <w:spacing w:beforeAutospacing="0" w:afterAutospacing="0" w:line="0" w:lineRule="atLeast"/>
        <w:jc w:val="center"/>
        <w:rPr>
          <w:rFonts w:ascii="宋体" w:hAnsi="宋体" w:eastAsia="宋体" w:cs="宋体"/>
          <w:b/>
          <w:color w:val="auto"/>
          <w:sz w:val="32"/>
          <w:szCs w:val="32"/>
          <w:highlight w:val="none"/>
        </w:rPr>
      </w:pPr>
    </w:p>
    <w:p w14:paraId="57976BA3">
      <w:pPr>
        <w:pStyle w:val="10"/>
        <w:spacing w:beforeAutospacing="0" w:afterAutospacing="0" w:line="0" w:lineRule="atLeast"/>
        <w:jc w:val="center"/>
        <w:rPr>
          <w:rFonts w:ascii="宋体" w:hAnsi="宋体" w:eastAsia="宋体" w:cs="宋体"/>
          <w:b/>
          <w:color w:val="auto"/>
          <w:sz w:val="32"/>
          <w:szCs w:val="32"/>
          <w:highlight w:val="none"/>
        </w:rPr>
      </w:pPr>
    </w:p>
    <w:p w14:paraId="4888380E">
      <w:pPr>
        <w:pStyle w:val="10"/>
        <w:spacing w:beforeAutospacing="0" w:afterAutospacing="0" w:line="0" w:lineRule="atLeast"/>
        <w:jc w:val="center"/>
        <w:rPr>
          <w:rFonts w:ascii="宋体" w:hAnsi="宋体" w:eastAsia="宋体" w:cs="宋体"/>
          <w:b/>
          <w:color w:val="auto"/>
          <w:sz w:val="32"/>
          <w:szCs w:val="32"/>
          <w:highlight w:val="none"/>
        </w:rPr>
      </w:pPr>
    </w:p>
    <w:p w14:paraId="307BF343">
      <w:pPr>
        <w:pStyle w:val="10"/>
        <w:spacing w:beforeAutospacing="0" w:afterAutospacing="0" w:line="0" w:lineRule="atLeas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5B41C696">
      <w:pPr>
        <w:pStyle w:val="10"/>
        <w:spacing w:beforeAutospacing="0" w:afterAutospacing="0" w:line="0" w:lineRule="atLeast"/>
        <w:jc w:val="center"/>
        <w:rPr>
          <w:color w:val="auto"/>
          <w:highlight w:val="none"/>
        </w:rPr>
      </w:pPr>
      <w:r>
        <w:rPr>
          <w:color w:val="auto"/>
          <w:highlight w:val="none"/>
        </w:rPr>
        <w:t> </w:t>
      </w:r>
    </w:p>
    <w:p w14:paraId="7B27F066">
      <w:pPr>
        <w:pStyle w:val="10"/>
        <w:spacing w:beforeAutospacing="0" w:afterAutospacing="0"/>
        <w:ind w:left="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一、法人或者其他组织的营业执照等证明文件，自然人的身份证明</w:t>
      </w:r>
    </w:p>
    <w:p w14:paraId="37531448">
      <w:pPr>
        <w:pStyle w:val="10"/>
        <w:spacing w:beforeAutospacing="0" w:afterAutospacing="0"/>
        <w:ind w:left="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二、上一年度的财务状况报告（至少提供资产负债表、利润表、现金流量表，磋商供应商成立不满一年无需提供）</w:t>
      </w:r>
    </w:p>
    <w:p w14:paraId="04D4E413">
      <w:pPr>
        <w:pStyle w:val="10"/>
        <w:spacing w:beforeAutospacing="0" w:afterAutospacing="0"/>
        <w:ind w:left="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三、具备履行合同所必需的设备和专业技术能力的书面声明</w:t>
      </w:r>
    </w:p>
    <w:p w14:paraId="4CAA3DBD">
      <w:pPr>
        <w:pStyle w:val="10"/>
        <w:spacing w:beforeAutospacing="0" w:afterAutospacing="0"/>
        <w:ind w:left="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5189FB9">
      <w:pPr>
        <w:pStyle w:val="10"/>
        <w:spacing w:beforeAutospacing="0" w:afterAutospacing="0" w:line="0" w:lineRule="atLeast"/>
        <w:ind w:firstLine="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五、参加政府采购活动前 3 年内在经营活动中没有重大违法记录的书面声明</w:t>
      </w:r>
    </w:p>
    <w:p w14:paraId="698B474A">
      <w:pPr>
        <w:pStyle w:val="10"/>
        <w:spacing w:beforeAutospacing="0" w:afterAutospacing="0" w:line="0" w:lineRule="atLeast"/>
        <w:ind w:firstLine="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六、特定资格要求的证明文件（如果本项目设置特定资格要求，则需要提供）</w:t>
      </w:r>
    </w:p>
    <w:p w14:paraId="2C9A71EB">
      <w:pPr>
        <w:pStyle w:val="10"/>
        <w:spacing w:beforeAutospacing="0" w:afterAutospacing="0" w:line="0" w:lineRule="atLeast"/>
        <w:ind w:firstLine="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七、法人授权书</w:t>
      </w:r>
    </w:p>
    <w:p w14:paraId="572472C2">
      <w:pPr>
        <w:pStyle w:val="10"/>
        <w:spacing w:beforeAutospacing="0" w:afterAutospacing="0" w:line="0" w:lineRule="atLeast"/>
        <w:ind w:firstLine="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八、磋商响应函</w:t>
      </w:r>
    </w:p>
    <w:p w14:paraId="7BE4CEF0">
      <w:pPr>
        <w:pStyle w:val="10"/>
        <w:spacing w:beforeAutospacing="0" w:afterAutospacing="0" w:line="0" w:lineRule="atLeast"/>
        <w:ind w:firstLine="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九、中小企业声明函</w:t>
      </w:r>
    </w:p>
    <w:p w14:paraId="6D19C05A">
      <w:pPr>
        <w:pStyle w:val="10"/>
        <w:spacing w:beforeAutospacing="0" w:afterAutospacing="0" w:line="0" w:lineRule="atLeast"/>
        <w:ind w:firstLine="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十、残疾人福利性单位声明函</w:t>
      </w:r>
    </w:p>
    <w:p w14:paraId="45B957BD">
      <w:pPr>
        <w:pStyle w:val="10"/>
        <w:spacing w:beforeAutospacing="0" w:afterAutospacing="0" w:line="0" w:lineRule="atLeast"/>
        <w:ind w:firstLine="480"/>
        <w:jc w:val="both"/>
        <w:rPr>
          <w:rFonts w:asciiTheme="minorEastAsia" w:hAnsiTheme="minorEastAsia" w:cstheme="minorEastAsia"/>
          <w:iCs/>
          <w:color w:val="auto"/>
          <w:highlight w:val="none"/>
        </w:rPr>
      </w:pPr>
      <w:r>
        <w:rPr>
          <w:rFonts w:hint="eastAsia" w:ascii="宋体" w:hAnsi="宋体" w:eastAsia="宋体" w:cs="宋体"/>
          <w:iCs/>
          <w:color w:val="auto"/>
          <w:highlight w:val="none"/>
        </w:rPr>
        <w:t>十一、 关于符合本国产品标准的声明函</w:t>
      </w:r>
    </w:p>
    <w:p w14:paraId="1126878E">
      <w:pPr>
        <w:pStyle w:val="10"/>
        <w:spacing w:beforeAutospacing="0" w:afterAutospacing="0" w:line="0" w:lineRule="atLeast"/>
        <w:ind w:firstLine="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十二、联合体协议</w:t>
      </w:r>
    </w:p>
    <w:p w14:paraId="3DB16F11">
      <w:pPr>
        <w:pStyle w:val="10"/>
        <w:spacing w:beforeAutospacing="0" w:afterAutospacing="0" w:line="0" w:lineRule="atLeast"/>
        <w:ind w:firstLine="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十三、分项报价表</w:t>
      </w:r>
    </w:p>
    <w:p w14:paraId="516C87DD">
      <w:pPr>
        <w:pStyle w:val="10"/>
        <w:spacing w:beforeAutospacing="0" w:afterAutospacing="0" w:line="0" w:lineRule="atLeast"/>
        <w:ind w:firstLine="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十四、技术要求响应及偏离表</w:t>
      </w:r>
    </w:p>
    <w:p w14:paraId="7BAE78CE">
      <w:pPr>
        <w:pStyle w:val="10"/>
        <w:spacing w:beforeAutospacing="0" w:afterAutospacing="0" w:line="0" w:lineRule="atLeast"/>
        <w:ind w:firstLine="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十五、商务要求响应及偏离表</w:t>
      </w:r>
    </w:p>
    <w:p w14:paraId="48EFFF5A">
      <w:pPr>
        <w:pStyle w:val="10"/>
        <w:spacing w:beforeAutospacing="0" w:afterAutospacing="0"/>
        <w:ind w:left="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十六、开标一览表</w:t>
      </w:r>
    </w:p>
    <w:p w14:paraId="26065437">
      <w:pPr>
        <w:widowControl/>
        <w:spacing w:before="50" w:after="50"/>
        <w:ind w:firstLine="480" w:firstLineChars="200"/>
        <w:rPr>
          <w:rFonts w:asciiTheme="minorEastAsia" w:hAnsiTheme="minorEastAsia" w:cstheme="minorEastAsia"/>
          <w:iCs/>
          <w:color w:val="auto"/>
          <w:kern w:val="0"/>
          <w:sz w:val="24"/>
          <w:highlight w:val="none"/>
        </w:rPr>
      </w:pPr>
      <w:r>
        <w:rPr>
          <w:rFonts w:hint="eastAsia" w:asciiTheme="minorEastAsia" w:hAnsiTheme="minorEastAsia" w:cstheme="minorEastAsia"/>
          <w:iCs/>
          <w:color w:val="auto"/>
          <w:kern w:val="0"/>
          <w:sz w:val="24"/>
          <w:highlight w:val="none"/>
        </w:rPr>
        <w:t>十七、技术方案、服务承诺、培训承诺等</w:t>
      </w:r>
    </w:p>
    <w:p w14:paraId="660B8D16">
      <w:pPr>
        <w:pStyle w:val="10"/>
        <w:spacing w:beforeAutospacing="0" w:afterAutospacing="0" w:line="360" w:lineRule="auto"/>
        <w:ind w:firstLine="480"/>
        <w:jc w:val="both"/>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十八、盐城市政府采购事前信用承诺书</w:t>
      </w:r>
    </w:p>
    <w:p w14:paraId="4DDD421A">
      <w:pPr>
        <w:pStyle w:val="10"/>
        <w:spacing w:beforeAutospacing="0" w:afterAutospacing="0" w:line="0" w:lineRule="atLeast"/>
        <w:ind w:firstLine="480"/>
        <w:jc w:val="both"/>
        <w:rPr>
          <w:color w:val="auto"/>
          <w:highlight w:val="none"/>
        </w:rPr>
      </w:pPr>
    </w:p>
    <w:p w14:paraId="1201F0CE">
      <w:pPr>
        <w:pStyle w:val="10"/>
        <w:spacing w:beforeAutospacing="0" w:afterAutospacing="0" w:line="0" w:lineRule="atLeast"/>
        <w:ind w:firstLine="480"/>
        <w:jc w:val="both"/>
        <w:rPr>
          <w:color w:val="auto"/>
          <w:highlight w:val="none"/>
        </w:rPr>
      </w:pPr>
      <w:r>
        <w:rPr>
          <w:color w:val="auto"/>
          <w:highlight w:val="none"/>
        </w:rPr>
        <w:t> </w:t>
      </w:r>
    </w:p>
    <w:p w14:paraId="4F24DF3A">
      <w:pPr>
        <w:pStyle w:val="10"/>
        <w:spacing w:beforeAutospacing="0" w:afterAutospacing="0" w:line="0" w:lineRule="atLeast"/>
        <w:ind w:firstLine="480"/>
        <w:jc w:val="both"/>
        <w:rPr>
          <w:color w:val="auto"/>
          <w:highlight w:val="none"/>
        </w:rPr>
      </w:pPr>
      <w:r>
        <w:rPr>
          <w:color w:val="auto"/>
          <w:highlight w:val="none"/>
        </w:rPr>
        <w:t> </w:t>
      </w:r>
    </w:p>
    <w:p w14:paraId="199B0095">
      <w:pPr>
        <w:pStyle w:val="10"/>
        <w:spacing w:beforeAutospacing="0" w:afterAutospacing="0" w:line="0" w:lineRule="atLeast"/>
        <w:ind w:firstLine="480"/>
        <w:jc w:val="both"/>
        <w:rPr>
          <w:color w:val="auto"/>
          <w:highlight w:val="none"/>
        </w:rPr>
      </w:pPr>
      <w:r>
        <w:rPr>
          <w:color w:val="auto"/>
          <w:highlight w:val="none"/>
        </w:rPr>
        <w:t> </w:t>
      </w:r>
    </w:p>
    <w:p w14:paraId="0F52F154">
      <w:pPr>
        <w:pStyle w:val="10"/>
        <w:spacing w:beforeAutospacing="0" w:afterAutospacing="0" w:line="0" w:lineRule="atLeast"/>
        <w:ind w:firstLine="480"/>
        <w:jc w:val="both"/>
        <w:rPr>
          <w:color w:val="auto"/>
          <w:highlight w:val="none"/>
        </w:rPr>
      </w:pPr>
      <w:r>
        <w:rPr>
          <w:color w:val="auto"/>
          <w:highlight w:val="none"/>
        </w:rPr>
        <w:t> </w:t>
      </w:r>
    </w:p>
    <w:p w14:paraId="41501310">
      <w:pPr>
        <w:pStyle w:val="10"/>
        <w:spacing w:beforeAutospacing="0" w:afterAutospacing="0" w:line="0" w:lineRule="atLeast"/>
        <w:ind w:firstLine="480"/>
        <w:jc w:val="both"/>
        <w:rPr>
          <w:color w:val="auto"/>
          <w:highlight w:val="none"/>
        </w:rPr>
      </w:pPr>
    </w:p>
    <w:p w14:paraId="594B633D">
      <w:pPr>
        <w:pStyle w:val="10"/>
        <w:spacing w:beforeAutospacing="0" w:afterAutospacing="0" w:line="0" w:lineRule="atLeast"/>
        <w:ind w:firstLine="480"/>
        <w:jc w:val="both"/>
        <w:rPr>
          <w:color w:val="auto"/>
          <w:highlight w:val="none"/>
        </w:rPr>
      </w:pPr>
    </w:p>
    <w:p w14:paraId="46BD6355">
      <w:pPr>
        <w:pStyle w:val="10"/>
        <w:spacing w:beforeAutospacing="0" w:afterAutospacing="0" w:line="0" w:lineRule="atLeast"/>
        <w:ind w:firstLine="480"/>
        <w:jc w:val="both"/>
        <w:rPr>
          <w:color w:val="auto"/>
          <w:highlight w:val="none"/>
        </w:rPr>
      </w:pPr>
    </w:p>
    <w:p w14:paraId="79A1F378">
      <w:pPr>
        <w:pStyle w:val="10"/>
        <w:spacing w:beforeAutospacing="0" w:afterAutospacing="0" w:line="0" w:lineRule="atLeast"/>
        <w:ind w:firstLine="480"/>
        <w:jc w:val="both"/>
        <w:rPr>
          <w:color w:val="auto"/>
          <w:highlight w:val="none"/>
        </w:rPr>
      </w:pPr>
    </w:p>
    <w:p w14:paraId="025F521F">
      <w:pPr>
        <w:pStyle w:val="10"/>
        <w:spacing w:beforeAutospacing="0" w:afterAutospacing="0" w:line="0" w:lineRule="atLeast"/>
        <w:ind w:firstLine="480"/>
        <w:jc w:val="both"/>
        <w:rPr>
          <w:color w:val="auto"/>
          <w:highlight w:val="none"/>
        </w:rPr>
      </w:pPr>
    </w:p>
    <w:p w14:paraId="3256F45B">
      <w:pPr>
        <w:pStyle w:val="10"/>
        <w:spacing w:beforeAutospacing="0" w:afterAutospacing="0" w:line="0" w:lineRule="atLeast"/>
        <w:ind w:firstLine="480"/>
        <w:jc w:val="both"/>
        <w:rPr>
          <w:color w:val="auto"/>
          <w:highlight w:val="none"/>
        </w:rPr>
      </w:pPr>
    </w:p>
    <w:p w14:paraId="58D6C6F0">
      <w:pPr>
        <w:pStyle w:val="10"/>
        <w:spacing w:beforeAutospacing="0" w:afterAutospacing="0" w:line="0" w:lineRule="atLeast"/>
        <w:ind w:firstLine="480"/>
        <w:jc w:val="both"/>
        <w:rPr>
          <w:color w:val="auto"/>
          <w:highlight w:val="none"/>
        </w:rPr>
      </w:pPr>
    </w:p>
    <w:p w14:paraId="05F4313F">
      <w:pPr>
        <w:pStyle w:val="10"/>
        <w:spacing w:beforeAutospacing="0" w:afterAutospacing="0" w:line="0" w:lineRule="atLeast"/>
        <w:ind w:firstLine="480"/>
        <w:jc w:val="both"/>
        <w:rPr>
          <w:color w:val="auto"/>
          <w:highlight w:val="none"/>
        </w:rPr>
      </w:pPr>
    </w:p>
    <w:p w14:paraId="06CFC524">
      <w:pPr>
        <w:pStyle w:val="10"/>
        <w:spacing w:beforeAutospacing="0" w:afterAutospacing="0" w:line="0" w:lineRule="atLeast"/>
        <w:ind w:firstLine="480"/>
        <w:jc w:val="both"/>
        <w:rPr>
          <w:color w:val="auto"/>
          <w:highlight w:val="none"/>
        </w:rPr>
      </w:pPr>
      <w:r>
        <w:rPr>
          <w:color w:val="auto"/>
          <w:highlight w:val="none"/>
        </w:rPr>
        <w:t> </w:t>
      </w:r>
    </w:p>
    <w:p w14:paraId="5BA2A28C">
      <w:pPr>
        <w:pStyle w:val="10"/>
        <w:spacing w:beforeAutospacing="0" w:afterAutospacing="0" w:line="0" w:lineRule="atLeast"/>
        <w:ind w:firstLine="480"/>
        <w:jc w:val="both"/>
        <w:rPr>
          <w:color w:val="auto"/>
          <w:highlight w:val="none"/>
        </w:rPr>
      </w:pPr>
      <w:r>
        <w:rPr>
          <w:color w:val="auto"/>
          <w:highlight w:val="none"/>
        </w:rPr>
        <w:t> </w:t>
      </w:r>
    </w:p>
    <w:p w14:paraId="43E1453A">
      <w:pPr>
        <w:pStyle w:val="10"/>
        <w:spacing w:beforeAutospacing="0" w:afterAutospacing="0" w:line="0" w:lineRule="atLeast"/>
        <w:ind w:firstLine="480"/>
        <w:jc w:val="both"/>
        <w:rPr>
          <w:color w:val="auto"/>
          <w:highlight w:val="none"/>
        </w:rPr>
      </w:pPr>
      <w:r>
        <w:rPr>
          <w:color w:val="auto"/>
          <w:highlight w:val="none"/>
        </w:rPr>
        <w:t> </w:t>
      </w:r>
    </w:p>
    <w:p w14:paraId="161416B6">
      <w:pPr>
        <w:rPr>
          <w:rFonts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34DFD3BF">
      <w:pPr>
        <w:pStyle w:val="1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59240982">
      <w:pPr>
        <w:pStyle w:val="10"/>
        <w:spacing w:beforeAutospacing="0" w:afterAutospacing="0" w:line="0" w:lineRule="atLeast"/>
        <w:ind w:firstLine="480"/>
        <w:jc w:val="both"/>
        <w:rPr>
          <w:color w:val="auto"/>
          <w:highlight w:val="none"/>
        </w:rPr>
      </w:pPr>
      <w:r>
        <w:rPr>
          <w:color w:val="auto"/>
          <w:highlight w:val="none"/>
        </w:rPr>
        <w:t> </w:t>
      </w:r>
    </w:p>
    <w:p w14:paraId="74E2D69E">
      <w:pPr>
        <w:pStyle w:val="10"/>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二、上一年度的财务状况报告</w:t>
      </w:r>
    </w:p>
    <w:p w14:paraId="0C60B884">
      <w:pPr>
        <w:tabs>
          <w:tab w:val="left" w:pos="1331"/>
        </w:tabs>
        <w:ind w:firstLine="480" w:firstLineChars="200"/>
        <w:jc w:val="left"/>
        <w:rPr>
          <w:rFonts w:ascii="宋体" w:hAnsi="宋体" w:eastAsia="宋体" w:cs="宋体"/>
          <w:iCs/>
          <w:color w:val="auto"/>
          <w:kern w:val="0"/>
          <w:sz w:val="24"/>
          <w:highlight w:val="none"/>
        </w:rPr>
      </w:pPr>
      <w:r>
        <w:rPr>
          <w:rFonts w:hint="eastAsia" w:ascii="宋体" w:hAnsi="宋体" w:eastAsia="宋体" w:cs="宋体"/>
          <w:iCs/>
          <w:color w:val="auto"/>
          <w:kern w:val="0"/>
          <w:sz w:val="24"/>
          <w:highlight w:val="none"/>
        </w:rPr>
        <w:t>（至少提供资产负债表、利润表、现金流量表，投标人成立不满一年无需提供）</w:t>
      </w:r>
    </w:p>
    <w:p w14:paraId="1EAAA377">
      <w:pPr>
        <w:pStyle w:val="10"/>
        <w:spacing w:beforeAutospacing="0" w:afterAutospacing="0" w:line="0" w:lineRule="atLeast"/>
        <w:ind w:firstLine="480"/>
        <w:jc w:val="both"/>
        <w:rPr>
          <w:rFonts w:eastAsia="宋体"/>
          <w:color w:val="auto"/>
          <w:highlight w:val="none"/>
        </w:rPr>
      </w:pPr>
    </w:p>
    <w:p w14:paraId="5C7918CD">
      <w:pPr>
        <w:pStyle w:val="10"/>
        <w:spacing w:beforeAutospacing="0" w:afterAutospacing="0"/>
        <w:jc w:val="both"/>
        <w:rPr>
          <w:color w:val="auto"/>
          <w:highlight w:val="none"/>
        </w:rPr>
      </w:pPr>
      <w:r>
        <w:rPr>
          <w:color w:val="auto"/>
          <w:highlight w:val="none"/>
        </w:rPr>
        <w:t> </w:t>
      </w:r>
    </w:p>
    <w:p w14:paraId="510EC5F4">
      <w:pPr>
        <w:pStyle w:val="1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428E7D45">
      <w:pPr>
        <w:pStyle w:val="10"/>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47A054B">
      <w:pPr>
        <w:pStyle w:val="10"/>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F085CE0">
      <w:pPr>
        <w:pStyle w:val="10"/>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86B3EC2">
      <w:pPr>
        <w:pStyle w:val="10"/>
        <w:spacing w:beforeAutospacing="0" w:afterAutospacing="0"/>
        <w:jc w:val="both"/>
        <w:rPr>
          <w:rFonts w:ascii="黑体" w:hAnsi="宋体" w:eastAsia="黑体" w:cs="黑体"/>
          <w:i/>
          <w:color w:val="auto"/>
          <w:sz w:val="32"/>
          <w:szCs w:val="32"/>
          <w:highlight w:val="none"/>
          <w:u w:val="single"/>
        </w:rPr>
      </w:pPr>
    </w:p>
    <w:p w14:paraId="60D6FBC8">
      <w:pPr>
        <w:pStyle w:val="1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641864C6">
      <w:pPr>
        <w:pStyle w:val="10"/>
        <w:spacing w:beforeAutospacing="0" w:afterAutospacing="0"/>
        <w:ind w:firstLine="480"/>
        <w:jc w:val="both"/>
        <w:rPr>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32AE7CD6">
      <w:pPr>
        <w:pStyle w:val="10"/>
        <w:spacing w:beforeAutospacing="0" w:afterAutospacing="0" w:line="0" w:lineRule="atLeast"/>
        <w:jc w:val="both"/>
        <w:rPr>
          <w:color w:val="auto"/>
          <w:highlight w:val="none"/>
        </w:rPr>
      </w:pPr>
      <w:r>
        <w:rPr>
          <w:rFonts w:hint="eastAsia" w:ascii="宋体" w:hAnsi="宋体" w:eastAsia="宋体" w:cs="宋体"/>
          <w:color w:val="auto"/>
          <w:highlight w:val="none"/>
        </w:rPr>
        <w:t xml:space="preserve">                                     </w:t>
      </w:r>
    </w:p>
    <w:p w14:paraId="19B3CD8B">
      <w:pPr>
        <w:pStyle w:val="10"/>
        <w:spacing w:beforeAutospacing="0" w:afterAutospacing="0"/>
        <w:jc w:val="both"/>
        <w:rPr>
          <w:color w:val="auto"/>
          <w:highlight w:val="none"/>
        </w:rPr>
      </w:pPr>
      <w:r>
        <w:rPr>
          <w:color w:val="auto"/>
          <w:highlight w:val="none"/>
        </w:rPr>
        <w:t> </w:t>
      </w:r>
    </w:p>
    <w:p w14:paraId="209B1D0A">
      <w:pPr>
        <w:pStyle w:val="1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5D2D4F6">
      <w:pPr>
        <w:pStyle w:val="10"/>
        <w:spacing w:beforeAutospacing="0" w:afterAutospacing="0" w:line="0" w:lineRule="atLeast"/>
        <w:jc w:val="center"/>
        <w:rPr>
          <w:color w:val="auto"/>
          <w:highlight w:val="none"/>
        </w:rPr>
      </w:pPr>
      <w:r>
        <w:rPr>
          <w:rFonts w:hint="eastAsia" w:ascii="宋体" w:hAnsi="宋体" w:eastAsia="宋体" w:cs="宋体"/>
          <w:b/>
          <w:color w:val="auto"/>
          <w:sz w:val="44"/>
          <w:szCs w:val="44"/>
          <w:highlight w:val="none"/>
        </w:rPr>
        <w:t>声  明</w:t>
      </w:r>
    </w:p>
    <w:p w14:paraId="594187FD">
      <w:pPr>
        <w:pStyle w:val="10"/>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57EC01F9">
      <w:pPr>
        <w:pStyle w:val="10"/>
        <w:spacing w:beforeAutospacing="0" w:afterAutospacing="0"/>
        <w:jc w:val="both"/>
        <w:rPr>
          <w:color w:val="auto"/>
          <w:highlight w:val="none"/>
        </w:rPr>
      </w:pPr>
      <w:r>
        <w:rPr>
          <w:color w:val="auto"/>
          <w:highlight w:val="none"/>
        </w:rPr>
        <w:t> </w:t>
      </w:r>
    </w:p>
    <w:p w14:paraId="6915DF1F">
      <w:pPr>
        <w:pStyle w:val="1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341D5A73">
      <w:pPr>
        <w:pStyle w:val="10"/>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0713F367">
      <w:pPr>
        <w:pStyle w:val="10"/>
        <w:spacing w:beforeAutospacing="0" w:afterAutospacing="0"/>
        <w:jc w:val="center"/>
        <w:rPr>
          <w:rFonts w:ascii="黑体" w:hAnsi="宋体" w:eastAsia="黑体" w:cs="黑体"/>
          <w:i/>
          <w:color w:val="auto"/>
          <w:sz w:val="32"/>
          <w:szCs w:val="32"/>
          <w:highlight w:val="none"/>
          <w:u w:val="single"/>
        </w:rPr>
      </w:pPr>
      <w:bookmarkStart w:id="172" w:name="_Toc120614284"/>
    </w:p>
    <w:p w14:paraId="3C90CF51">
      <w:pPr>
        <w:pStyle w:val="10"/>
        <w:spacing w:beforeAutospacing="0" w:afterAutospacing="0"/>
        <w:jc w:val="center"/>
        <w:rPr>
          <w:rFonts w:ascii="黑体" w:hAnsi="宋体" w:eastAsia="黑体" w:cs="黑体"/>
          <w:i/>
          <w:color w:val="auto"/>
          <w:sz w:val="32"/>
          <w:szCs w:val="32"/>
          <w:highlight w:val="none"/>
          <w:u w:val="single"/>
        </w:rPr>
      </w:pPr>
    </w:p>
    <w:p w14:paraId="50AD0CCD">
      <w:pPr>
        <w:pStyle w:val="10"/>
        <w:spacing w:beforeAutospacing="0" w:afterAutospacing="0"/>
        <w:jc w:val="center"/>
        <w:rPr>
          <w:rFonts w:ascii="黑体" w:hAnsi="宋体" w:eastAsia="黑体" w:cs="黑体"/>
          <w:i/>
          <w:color w:val="auto"/>
          <w:sz w:val="32"/>
          <w:szCs w:val="32"/>
          <w:highlight w:val="none"/>
          <w:u w:val="single"/>
        </w:rPr>
      </w:pPr>
    </w:p>
    <w:p w14:paraId="40086493">
      <w:pPr>
        <w:pStyle w:val="10"/>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52A92DE9">
      <w:pPr>
        <w:pStyle w:val="10"/>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5055107D">
      <w:pPr>
        <w:pStyle w:val="10"/>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39D02AE4">
      <w:pPr>
        <w:pStyle w:val="10"/>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30431461">
      <w:pPr>
        <w:pStyle w:val="10"/>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6C018241">
      <w:pPr>
        <w:pStyle w:val="10"/>
        <w:tabs>
          <w:tab w:val="left" w:pos="360"/>
        </w:tabs>
        <w:spacing w:beforeAutospacing="0" w:afterAutospacing="0"/>
        <w:ind w:firstLine="12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1551940B">
      <w:pPr>
        <w:pStyle w:val="10"/>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6032F624">
      <w:pPr>
        <w:pStyle w:val="10"/>
        <w:tabs>
          <w:tab w:val="left" w:pos="360"/>
        </w:tabs>
        <w:spacing w:beforeAutospacing="0" w:afterAutospacing="0"/>
        <w:ind w:firstLine="480"/>
        <w:jc w:val="both"/>
        <w:rPr>
          <w:color w:val="auto"/>
          <w:highlight w:val="none"/>
        </w:rPr>
      </w:pPr>
      <w:r>
        <w:rPr>
          <w:rFonts w:ascii="Times New Roman" w:hAnsi="Times New Roman"/>
          <w:color w:val="auto"/>
          <w:highlight w:val="none"/>
        </w:rPr>
        <w:t>      日期：</w:t>
      </w:r>
      <w:bookmarkStart w:id="173" w:name="_Hlt26955070"/>
      <w:bookmarkStart w:id="174" w:name="_Hlt26671380"/>
      <w:bookmarkStart w:id="175" w:name="_格式3__银行出具的资信证明"/>
      <w:r>
        <w:rPr>
          <w:rFonts w:ascii="Times New Roman" w:hAnsi="Times New Roman"/>
          <w:color w:val="auto"/>
          <w:highlight w:val="none"/>
          <w:u w:val="single"/>
        </w:rPr>
        <w:t xml:space="preserve">                                         </w:t>
      </w:r>
    </w:p>
    <w:p w14:paraId="213200B4">
      <w:pPr>
        <w:pStyle w:val="10"/>
        <w:tabs>
          <w:tab w:val="left" w:pos="360"/>
        </w:tabs>
        <w:spacing w:beforeAutospacing="0" w:afterAutospacing="0"/>
        <w:ind w:firstLine="480"/>
        <w:jc w:val="both"/>
        <w:rPr>
          <w:color w:val="auto"/>
          <w:highlight w:val="none"/>
        </w:rPr>
      </w:pPr>
      <w:r>
        <w:rPr>
          <w:color w:val="auto"/>
          <w:highlight w:val="none"/>
        </w:rPr>
        <w:t> </w:t>
      </w:r>
    </w:p>
    <w:p w14:paraId="2984EDBE">
      <w:pPr>
        <w:pStyle w:val="10"/>
        <w:tabs>
          <w:tab w:val="left" w:pos="360"/>
        </w:tabs>
        <w:spacing w:beforeAutospacing="0" w:afterAutospacing="0"/>
        <w:ind w:firstLine="480"/>
        <w:jc w:val="both"/>
        <w:rPr>
          <w:color w:val="auto"/>
          <w:highlight w:val="none"/>
        </w:rPr>
      </w:pPr>
      <w:r>
        <w:rPr>
          <w:color w:val="auto"/>
          <w:highlight w:val="none"/>
        </w:rPr>
        <w:t> </w:t>
      </w:r>
    </w:p>
    <w:p w14:paraId="282CC826">
      <w:pPr>
        <w:pStyle w:val="10"/>
        <w:spacing w:beforeAutospacing="0" w:afterAutospacing="0"/>
        <w:ind w:firstLine="420"/>
        <w:jc w:val="both"/>
        <w:rPr>
          <w:color w:val="auto"/>
          <w:highlight w:val="none"/>
        </w:rPr>
      </w:pPr>
      <w:r>
        <w:rPr>
          <w:color w:val="auto"/>
          <w:highlight w:val="none"/>
        </w:rPr>
        <w:t> </w:t>
      </w:r>
    </w:p>
    <w:p w14:paraId="62DF9684">
      <w:pPr>
        <w:pStyle w:val="10"/>
        <w:spacing w:beforeAutospacing="0" w:afterAutospacing="0"/>
        <w:jc w:val="both"/>
        <w:rPr>
          <w:color w:val="auto"/>
          <w:highlight w:val="none"/>
        </w:rPr>
      </w:pPr>
      <w:r>
        <w:rPr>
          <w:color w:val="auto"/>
          <w:highlight w:val="none"/>
        </w:rPr>
        <w:t> </w:t>
      </w:r>
    </w:p>
    <w:p w14:paraId="120A64CC">
      <w:pPr>
        <w:pStyle w:val="10"/>
        <w:keepNext/>
        <w:keepLines/>
        <w:spacing w:before="260" w:beforeAutospacing="0" w:after="260" w:afterAutospacing="0" w:line="415" w:lineRule="auto"/>
        <w:ind w:firstLine="3390"/>
        <w:jc w:val="both"/>
        <w:rPr>
          <w:color w:val="auto"/>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hint="eastAsia" w:ascii="黑体" w:hAnsi="宋体" w:eastAsia="黑体" w:cs="黑体"/>
          <w:b/>
          <w:i/>
          <w:color w:val="auto"/>
          <w:sz w:val="32"/>
          <w:szCs w:val="32"/>
          <w:highlight w:val="none"/>
          <w:u w:val="single"/>
        </w:rPr>
        <w:t>八、磋商响应函</w:t>
      </w:r>
    </w:p>
    <w:p w14:paraId="14648364">
      <w:pPr>
        <w:pStyle w:val="10"/>
        <w:spacing w:beforeAutospacing="0" w:afterAutospacing="0" w:line="0" w:lineRule="atLeast"/>
        <w:rPr>
          <w:color w:val="auto"/>
          <w:highlight w:val="none"/>
        </w:rPr>
      </w:pPr>
      <w:r>
        <w:rPr>
          <w:rFonts w:hint="eastAsia" w:ascii="宋体" w:hAnsi="宋体" w:eastAsia="宋体" w:cs="宋体"/>
          <w:color w:val="auto"/>
          <w:highlight w:val="none"/>
        </w:rPr>
        <w:t>致：盐城市亭湖区机关事务服务中心</w:t>
      </w:r>
    </w:p>
    <w:p w14:paraId="432CAACC">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根据贵方的JSZC-320900-***</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号磋商文件，正式授权下述签字人_</w:t>
      </w:r>
      <w:r>
        <w:rPr>
          <w:rFonts w:hint="eastAsia" w:ascii="宋体" w:hAnsi="宋体" w:eastAsia="宋体" w:cs="宋体"/>
          <w:color w:val="auto"/>
          <w:highlight w:val="none"/>
          <w:u w:val="single"/>
        </w:rPr>
        <w:t>（姓名打印或手签均可）</w:t>
      </w:r>
      <w:r>
        <w:rPr>
          <w:rFonts w:hint="eastAsia" w:ascii="宋体" w:hAnsi="宋体" w:eastAsia="宋体" w:cs="宋体"/>
          <w:color w:val="auto"/>
          <w:highlight w:val="none"/>
        </w:rPr>
        <w:t>__(姓名)代表我方______________（供应商的名称），全权处理本次项目磋商的有关事宜。</w:t>
      </w:r>
    </w:p>
    <w:p w14:paraId="5B0D4D7B">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据此函，</w:t>
      </w:r>
      <w:r>
        <w:rPr>
          <w:rFonts w:hint="eastAsia" w:ascii="宋体" w:hAnsi="宋体" w:eastAsia="宋体" w:cs="宋体"/>
          <w:color w:val="auto"/>
          <w:highlight w:val="none"/>
          <w:u w:val="single"/>
        </w:rPr>
        <w:t>_</w:t>
      </w:r>
      <w:r>
        <w:rPr>
          <w:rFonts w:hint="eastAsia" w:ascii="宋体" w:hAnsi="宋体" w:eastAsia="宋体" w:cs="宋体"/>
          <w:color w:val="auto"/>
          <w:highlight w:val="none"/>
          <w:u w:val="single"/>
        </w:rPr>
        <w:t>_（姓名打印或手签均可）</w:t>
      </w:r>
      <w:r>
        <w:rPr>
          <w:rFonts w:hint="eastAsia" w:ascii="宋体" w:hAnsi="宋体" w:eastAsia="宋体" w:cs="宋体"/>
          <w:color w:val="auto"/>
          <w:highlight w:val="none"/>
          <w:u w:val="single"/>
        </w:rPr>
        <w:t>_</w:t>
      </w:r>
      <w:r>
        <w:rPr>
          <w:rFonts w:hint="eastAsia" w:ascii="宋体" w:hAnsi="宋体" w:eastAsia="宋体" w:cs="宋体"/>
          <w:color w:val="auto"/>
          <w:highlight w:val="none"/>
        </w:rPr>
        <w:t>_签字人兹宣布同意如下：</w:t>
      </w:r>
    </w:p>
    <w:p w14:paraId="5393B004">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1.按磋商文件规定的各项要求，向买方提供所需货物、服务（包含与货物相关的服务及与服务相关的货物）。</w:t>
      </w:r>
    </w:p>
    <w:p w14:paraId="79B6BF02">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2.我们完全理解贵方不一定将合同授予最低报价的供应商。</w:t>
      </w:r>
    </w:p>
    <w:p w14:paraId="5D38E218">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3.我们已详细审核全部磋商文件及其有效补充文件，我们知道必须放弃提出含糊不清或误解问题的权利。</w:t>
      </w:r>
    </w:p>
    <w:p w14:paraId="056F4984">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4.我们同意从规定的开标日期起遵循本响应文件，并在规定的磋商有效期期满之前均具有约束力。</w:t>
      </w:r>
    </w:p>
    <w:p w14:paraId="05181D00">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5.同意向贵方提供贵方可能另外要求的与磋商有关的任何证据或资料，并保证我方已提供和将要提供的文件是真实的、准确的。</w:t>
      </w:r>
    </w:p>
    <w:p w14:paraId="4696985E">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6.一旦我方成交,我方将根据磋商文件的规定，严格履行合同的责任和义务,并保证在磋商文件规定的时间完成项目，交付买方验收、使用。</w:t>
      </w:r>
    </w:p>
    <w:p w14:paraId="3F51194B">
      <w:pPr>
        <w:pStyle w:val="10"/>
        <w:spacing w:beforeAutospacing="0" w:afterAutospacing="0" w:line="0" w:lineRule="atLeast"/>
        <w:ind w:left="425"/>
        <w:rPr>
          <w:color w:val="auto"/>
          <w:highlight w:val="none"/>
        </w:rPr>
      </w:pPr>
      <w:r>
        <w:rPr>
          <w:rFonts w:hint="eastAsia" w:ascii="宋体" w:hAnsi="宋体" w:eastAsia="宋体" w:cs="宋体"/>
          <w:color w:val="auto"/>
          <w:highlight w:val="none"/>
        </w:rPr>
        <w:t>7.我方与本磋商有关的正式通讯地址为：</w:t>
      </w:r>
    </w:p>
    <w:p w14:paraId="1D6A4F9A">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5C8EA732">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09658CED">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4213DB8F">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3453934B">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供应商开户行：</w:t>
      </w:r>
    </w:p>
    <w:p w14:paraId="771BA470">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23323059">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455B6897">
      <w:pPr>
        <w:pStyle w:val="10"/>
        <w:spacing w:beforeAutospacing="0" w:afterAutospacing="0" w:line="0" w:lineRule="atLeast"/>
        <w:ind w:firstLine="240"/>
        <w:jc w:val="center"/>
        <w:rPr>
          <w:color w:val="auto"/>
          <w:highlight w:val="none"/>
        </w:rPr>
      </w:pPr>
      <w:r>
        <w:rPr>
          <w:color w:val="auto"/>
          <w:highlight w:val="none"/>
        </w:rPr>
        <w:t> </w:t>
      </w:r>
    </w:p>
    <w:p w14:paraId="14152783">
      <w:pPr>
        <w:pStyle w:val="10"/>
        <w:spacing w:beforeAutospacing="0" w:afterAutospacing="0" w:line="0" w:lineRule="atLeast"/>
        <w:ind w:firstLine="240"/>
        <w:jc w:val="center"/>
        <w:rPr>
          <w:color w:val="auto"/>
          <w:highlight w:val="none"/>
        </w:rPr>
      </w:pPr>
    </w:p>
    <w:p w14:paraId="0A163F86">
      <w:pPr>
        <w:pStyle w:val="10"/>
        <w:spacing w:beforeAutospacing="0" w:afterAutospacing="0" w:line="0" w:lineRule="atLeast"/>
        <w:ind w:firstLine="240"/>
        <w:jc w:val="center"/>
        <w:rPr>
          <w:color w:val="auto"/>
          <w:highlight w:val="none"/>
        </w:rPr>
      </w:pPr>
    </w:p>
    <w:p w14:paraId="3EBAC7A8">
      <w:pPr>
        <w:pStyle w:val="10"/>
        <w:spacing w:beforeAutospacing="0" w:afterAutospacing="0" w:line="0" w:lineRule="atLeast"/>
        <w:ind w:firstLine="240"/>
        <w:jc w:val="center"/>
        <w:rPr>
          <w:color w:val="auto"/>
          <w:highlight w:val="none"/>
        </w:rPr>
      </w:pPr>
    </w:p>
    <w:p w14:paraId="115AEC3B">
      <w:pPr>
        <w:pStyle w:val="10"/>
        <w:spacing w:beforeAutospacing="0" w:afterAutospacing="0" w:line="0" w:lineRule="atLeast"/>
        <w:ind w:firstLine="240"/>
        <w:jc w:val="center"/>
        <w:rPr>
          <w:color w:val="auto"/>
          <w:highlight w:val="none"/>
        </w:rPr>
      </w:pPr>
    </w:p>
    <w:p w14:paraId="260518F8">
      <w:pPr>
        <w:pStyle w:val="10"/>
        <w:spacing w:beforeAutospacing="0" w:afterAutospacing="0" w:line="0" w:lineRule="atLeast"/>
        <w:ind w:firstLine="240"/>
        <w:jc w:val="center"/>
        <w:rPr>
          <w:color w:val="auto"/>
          <w:highlight w:val="none"/>
        </w:rPr>
      </w:pPr>
    </w:p>
    <w:p w14:paraId="52557489">
      <w:pPr>
        <w:pStyle w:val="10"/>
        <w:spacing w:beforeAutospacing="0" w:afterAutospacing="0" w:line="0" w:lineRule="atLeast"/>
        <w:ind w:firstLine="240"/>
        <w:jc w:val="center"/>
        <w:rPr>
          <w:color w:val="auto"/>
          <w:highlight w:val="none"/>
        </w:rPr>
      </w:pPr>
    </w:p>
    <w:p w14:paraId="03BBC382">
      <w:pPr>
        <w:pStyle w:val="10"/>
        <w:spacing w:beforeAutospacing="0" w:afterAutospacing="0" w:line="0" w:lineRule="atLeast"/>
        <w:ind w:firstLine="240"/>
        <w:jc w:val="center"/>
        <w:rPr>
          <w:color w:val="auto"/>
          <w:highlight w:val="none"/>
        </w:rPr>
      </w:pPr>
    </w:p>
    <w:p w14:paraId="30B670C7">
      <w:pPr>
        <w:pStyle w:val="10"/>
        <w:spacing w:beforeAutospacing="0" w:afterAutospacing="0" w:line="0" w:lineRule="atLeast"/>
        <w:ind w:firstLine="240"/>
        <w:jc w:val="center"/>
        <w:rPr>
          <w:color w:val="auto"/>
          <w:highlight w:val="none"/>
        </w:rPr>
      </w:pPr>
    </w:p>
    <w:p w14:paraId="55E21C35">
      <w:pPr>
        <w:pStyle w:val="10"/>
        <w:spacing w:beforeAutospacing="0" w:afterAutospacing="0" w:line="0" w:lineRule="atLeast"/>
        <w:ind w:firstLine="240"/>
        <w:jc w:val="center"/>
        <w:rPr>
          <w:color w:val="auto"/>
          <w:highlight w:val="none"/>
        </w:rPr>
      </w:pPr>
    </w:p>
    <w:p w14:paraId="79EA58AC">
      <w:pPr>
        <w:pStyle w:val="10"/>
        <w:spacing w:beforeAutospacing="0" w:afterAutospacing="0" w:line="0" w:lineRule="atLeast"/>
        <w:ind w:firstLine="240"/>
        <w:jc w:val="center"/>
        <w:rPr>
          <w:color w:val="auto"/>
          <w:highlight w:val="none"/>
        </w:rPr>
      </w:pPr>
    </w:p>
    <w:p w14:paraId="67ECC80E">
      <w:pPr>
        <w:pStyle w:val="10"/>
        <w:spacing w:beforeAutospacing="0" w:afterAutospacing="0" w:line="0" w:lineRule="atLeast"/>
        <w:ind w:firstLine="240"/>
        <w:jc w:val="center"/>
        <w:rPr>
          <w:color w:val="auto"/>
          <w:highlight w:val="none"/>
        </w:rPr>
      </w:pPr>
    </w:p>
    <w:p w14:paraId="5F3CF85A">
      <w:pPr>
        <w:pStyle w:val="10"/>
        <w:spacing w:beforeAutospacing="0" w:afterAutospacing="0" w:line="0" w:lineRule="atLeast"/>
        <w:ind w:firstLine="240"/>
        <w:jc w:val="center"/>
        <w:rPr>
          <w:color w:val="auto"/>
          <w:highlight w:val="none"/>
        </w:rPr>
      </w:pPr>
    </w:p>
    <w:p w14:paraId="1B163787">
      <w:pPr>
        <w:pStyle w:val="10"/>
        <w:spacing w:beforeAutospacing="0" w:afterAutospacing="0" w:line="0" w:lineRule="atLeast"/>
        <w:ind w:firstLine="240"/>
        <w:jc w:val="center"/>
        <w:rPr>
          <w:color w:val="auto"/>
          <w:highlight w:val="none"/>
        </w:rPr>
      </w:pPr>
      <w:r>
        <w:rPr>
          <w:color w:val="auto"/>
          <w:highlight w:val="none"/>
        </w:rPr>
        <w:t> </w:t>
      </w:r>
    </w:p>
    <w:p w14:paraId="3AB4CDF8">
      <w:pPr>
        <w:pStyle w:val="10"/>
        <w:spacing w:beforeAutospacing="0" w:afterAutospacing="0" w:line="0" w:lineRule="atLeast"/>
        <w:ind w:firstLine="240"/>
        <w:jc w:val="center"/>
        <w:rPr>
          <w:color w:val="auto"/>
          <w:highlight w:val="none"/>
        </w:rPr>
      </w:pPr>
      <w:r>
        <w:rPr>
          <w:color w:val="auto"/>
          <w:highlight w:val="none"/>
        </w:rPr>
        <w:t> </w:t>
      </w:r>
    </w:p>
    <w:p w14:paraId="68A32F43">
      <w:pPr>
        <w:pStyle w:val="10"/>
        <w:spacing w:beforeAutospacing="0" w:afterAutospacing="0" w:line="0" w:lineRule="atLeast"/>
        <w:ind w:firstLine="240"/>
        <w:jc w:val="center"/>
        <w:rPr>
          <w:color w:val="auto"/>
          <w:highlight w:val="none"/>
        </w:rPr>
      </w:pPr>
      <w:r>
        <w:rPr>
          <w:color w:val="auto"/>
          <w:highlight w:val="none"/>
        </w:rPr>
        <w:t> </w:t>
      </w:r>
    </w:p>
    <w:p w14:paraId="0E57DBF6">
      <w:pPr>
        <w:pStyle w:val="10"/>
        <w:spacing w:beforeAutospacing="0" w:afterAutospacing="0" w:line="0" w:lineRule="atLeast"/>
        <w:ind w:firstLine="240"/>
        <w:jc w:val="center"/>
        <w:rPr>
          <w:color w:val="auto"/>
          <w:highlight w:val="none"/>
        </w:rPr>
      </w:pPr>
      <w:r>
        <w:rPr>
          <w:color w:val="auto"/>
          <w:highlight w:val="none"/>
        </w:rPr>
        <w:t> </w:t>
      </w:r>
    </w:p>
    <w:p w14:paraId="29F185B6">
      <w:pPr>
        <w:pStyle w:val="10"/>
        <w:spacing w:beforeAutospacing="0" w:afterAutospacing="0" w:line="0" w:lineRule="atLeast"/>
        <w:jc w:val="center"/>
        <w:rPr>
          <w:color w:val="auto"/>
          <w:highlight w:val="none"/>
        </w:rPr>
      </w:pPr>
      <w:r>
        <w:rPr>
          <w:color w:val="auto"/>
          <w:highlight w:val="none"/>
        </w:rPr>
        <w:t> </w:t>
      </w:r>
    </w:p>
    <w:p w14:paraId="76E9D5C9">
      <w:pPr>
        <w:pStyle w:val="10"/>
        <w:spacing w:beforeAutospacing="0" w:afterAutospacing="0" w:line="0" w:lineRule="atLeast"/>
        <w:jc w:val="center"/>
        <w:rPr>
          <w:color w:val="auto"/>
          <w:highlight w:val="none"/>
        </w:rPr>
      </w:pPr>
      <w:r>
        <w:rPr>
          <w:color w:val="auto"/>
          <w:highlight w:val="none"/>
        </w:rPr>
        <w:t> </w:t>
      </w:r>
      <w:r>
        <w:rPr>
          <w:rFonts w:hint="eastAsia" w:ascii="黑体" w:hAnsi="宋体" w:eastAsia="黑体" w:cs="黑体"/>
          <w:b/>
          <w:color w:val="auto"/>
          <w:sz w:val="32"/>
          <w:szCs w:val="32"/>
          <w:highlight w:val="none"/>
        </w:rPr>
        <w:t>九、中小企业声明函（服务）</w:t>
      </w:r>
    </w:p>
    <w:p w14:paraId="1DCF832C">
      <w:pPr>
        <w:spacing w:line="500" w:lineRule="exact"/>
        <w:ind w:firstLine="480"/>
        <w:rPr>
          <w:color w:val="auto"/>
          <w:sz w:val="24"/>
          <w:highlight w:val="none"/>
        </w:rPr>
      </w:pPr>
      <w:r>
        <w:rPr>
          <w:rFonts w:hint="eastAsia"/>
          <w:color w:val="auto"/>
          <w:sz w:val="24"/>
          <w:highlight w:val="none"/>
        </w:rPr>
        <w:t>本公司（联合体）郑重声明，根据《政府采购促进中小企业发展管理办法》（财库﹝2020﹞46 号）的规定，本公司（联合体）参加盐城市亭湖区机关事务服务中心组织的</w:t>
      </w:r>
      <w:r>
        <w:rPr>
          <w:rFonts w:hint="eastAsia"/>
          <w:i/>
          <w:iCs/>
          <w:color w:val="auto"/>
          <w:sz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rPr>
        <w:t xml:space="preserve">     </w:t>
      </w:r>
      <w:r>
        <w:rPr>
          <w:rFonts w:hint="eastAsia"/>
          <w:color w:val="auto"/>
          <w:sz w:val="24"/>
          <w:highlight w:val="none"/>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1"/>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（磋商文件中明确的所属行业）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1"/>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（磋商文件中明确的所属行业）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spacing w:line="500" w:lineRule="exact"/>
        <w:ind w:firstLine="480" w:firstLineChars="200"/>
        <w:rPr>
          <w:color w:val="auto"/>
          <w:sz w:val="24"/>
          <w:highlight w:val="none"/>
        </w:rPr>
      </w:pPr>
      <w:r>
        <w:rPr>
          <w:rFonts w:hint="eastAsia"/>
          <w:color w:val="auto"/>
          <w:sz w:val="24"/>
          <w:highlight w:val="none"/>
        </w:rPr>
        <w:t>……</w:t>
      </w:r>
    </w:p>
    <w:p w14:paraId="34FA3AC3">
      <w:pPr>
        <w:spacing w:line="500" w:lineRule="exact"/>
        <w:ind w:firstLine="480" w:firstLineChars="200"/>
        <w:rPr>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spacing w:line="500" w:lineRule="exact"/>
        <w:ind w:firstLine="480" w:firstLineChars="200"/>
        <w:rPr>
          <w:color w:val="auto"/>
          <w:sz w:val="24"/>
          <w:highlight w:val="none"/>
        </w:rPr>
      </w:pPr>
      <w:r>
        <w:rPr>
          <w:rFonts w:hint="eastAsia"/>
          <w:color w:val="auto"/>
          <w:sz w:val="24"/>
          <w:highlight w:val="none"/>
        </w:rPr>
        <w:t>本企业对上述声明内容的真实性负责。如有虚假，将依法承担相应责任。</w:t>
      </w:r>
    </w:p>
    <w:p w14:paraId="0FE19C0D">
      <w:pPr>
        <w:pStyle w:val="10"/>
        <w:spacing w:beforeAutospacing="0" w:afterAutospacing="0" w:line="0" w:lineRule="atLeast"/>
        <w:ind w:right="720"/>
        <w:jc w:val="both"/>
        <w:rPr>
          <w:color w:val="auto"/>
          <w:highlight w:val="none"/>
        </w:rPr>
      </w:pPr>
      <w:r>
        <w:rPr>
          <w:color w:val="auto"/>
          <w:highlight w:val="none"/>
        </w:rPr>
        <w:t> </w:t>
      </w:r>
    </w:p>
    <w:p w14:paraId="6CD49601">
      <w:pPr>
        <w:pStyle w:val="10"/>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0"/>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0"/>
        <w:spacing w:beforeAutospacing="0" w:afterAutospacing="0" w:line="0" w:lineRule="atLeast"/>
        <w:ind w:firstLine="240"/>
        <w:jc w:val="both"/>
        <w:rPr>
          <w:color w:val="auto"/>
          <w:highlight w:val="none"/>
        </w:rPr>
      </w:pPr>
      <w:r>
        <w:rPr>
          <w:color w:val="auto"/>
          <w:highlight w:val="none"/>
        </w:rPr>
        <w:t> </w:t>
      </w:r>
    </w:p>
    <w:p w14:paraId="5FD8B9FE">
      <w:pPr>
        <w:pStyle w:val="1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5F737D97">
      <w:pPr>
        <w:pStyle w:val="10"/>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十、残疾人福利性单位声明函</w:t>
      </w:r>
    </w:p>
    <w:p w14:paraId="46D22EAF">
      <w:pPr>
        <w:pStyle w:val="1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项目采购活动提供本单位制造的货物，或者提供其他残疾人福利性单位制造的货物（不包括使用非残疾人福利性单位注册商标的货物）。</w:t>
      </w:r>
    </w:p>
    <w:p w14:paraId="3AFA6EEE">
      <w:pPr>
        <w:pStyle w:val="1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79207B58">
      <w:pPr>
        <w:pStyle w:val="10"/>
        <w:spacing w:beforeAutospacing="0" w:afterAutospacing="0" w:line="0" w:lineRule="atLeast"/>
        <w:ind w:firstLine="480"/>
        <w:jc w:val="both"/>
        <w:rPr>
          <w:color w:val="auto"/>
          <w:highlight w:val="none"/>
        </w:rPr>
      </w:pPr>
      <w:r>
        <w:rPr>
          <w:color w:val="auto"/>
          <w:highlight w:val="none"/>
        </w:rPr>
        <w:t> </w:t>
      </w:r>
    </w:p>
    <w:p w14:paraId="748D2CB6">
      <w:pPr>
        <w:pStyle w:val="1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（备注：1、供应商如不提供此声明函，价格将不做相应扣除（如项目全面面向中小企业，则资格审查不通过）。2、成交供应商为残疾人福利单位的，此声明函将随成交结果同时公告，接受社会监督）</w:t>
      </w:r>
    </w:p>
    <w:p w14:paraId="20A8B68E">
      <w:pPr>
        <w:pStyle w:val="10"/>
        <w:spacing w:beforeAutospacing="0" w:afterAutospacing="0" w:line="0" w:lineRule="atLeast"/>
        <w:ind w:firstLine="624"/>
        <w:jc w:val="both"/>
        <w:rPr>
          <w:color w:val="auto"/>
          <w:highlight w:val="none"/>
        </w:rPr>
      </w:pPr>
      <w:r>
        <w:rPr>
          <w:color w:val="auto"/>
          <w:highlight w:val="none"/>
        </w:rPr>
        <w:t> </w:t>
      </w:r>
    </w:p>
    <w:p w14:paraId="64B7C548">
      <w:pPr>
        <w:pStyle w:val="10"/>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12759A72">
      <w:pPr>
        <w:pStyle w:val="10"/>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605AB47E">
      <w:pPr>
        <w:pStyle w:val="10"/>
        <w:spacing w:beforeAutospacing="0" w:afterAutospacing="0" w:line="0" w:lineRule="atLeast"/>
        <w:jc w:val="center"/>
        <w:rPr>
          <w:color w:val="auto"/>
          <w:highlight w:val="none"/>
        </w:rPr>
      </w:pPr>
      <w:r>
        <w:rPr>
          <w:color w:val="auto"/>
          <w:highlight w:val="none"/>
        </w:rPr>
        <w:t> </w:t>
      </w:r>
    </w:p>
    <w:p w14:paraId="2DAC0C71">
      <w:pPr>
        <w:pStyle w:val="10"/>
        <w:spacing w:beforeAutospacing="0" w:afterAutospacing="0" w:line="0" w:lineRule="atLeast"/>
        <w:jc w:val="center"/>
        <w:rPr>
          <w:color w:val="auto"/>
          <w:highlight w:val="none"/>
        </w:rPr>
      </w:pPr>
      <w:r>
        <w:rPr>
          <w:color w:val="auto"/>
          <w:highlight w:val="none"/>
        </w:rPr>
        <w:t> </w:t>
      </w:r>
    </w:p>
    <w:p w14:paraId="2F354FC5">
      <w:pPr>
        <w:pStyle w:val="10"/>
        <w:spacing w:beforeAutospacing="0" w:afterAutospacing="0" w:line="0" w:lineRule="atLeast"/>
        <w:jc w:val="center"/>
        <w:rPr>
          <w:color w:val="auto"/>
          <w:highlight w:val="none"/>
        </w:rPr>
      </w:pPr>
      <w:r>
        <w:rPr>
          <w:color w:val="auto"/>
          <w:highlight w:val="none"/>
        </w:rPr>
        <w:t> </w:t>
      </w:r>
    </w:p>
    <w:p w14:paraId="71DA123F">
      <w:pPr>
        <w:pStyle w:val="10"/>
        <w:spacing w:beforeAutospacing="0" w:afterAutospacing="0" w:line="0" w:lineRule="atLeast"/>
        <w:jc w:val="center"/>
        <w:rPr>
          <w:color w:val="auto"/>
          <w:highlight w:val="none"/>
        </w:rPr>
      </w:pPr>
      <w:r>
        <w:rPr>
          <w:color w:val="auto"/>
          <w:highlight w:val="none"/>
        </w:rPr>
        <w:t> </w:t>
      </w:r>
    </w:p>
    <w:p w14:paraId="1A9A3829">
      <w:pPr>
        <w:pStyle w:val="10"/>
        <w:spacing w:beforeAutospacing="0" w:afterAutospacing="0" w:line="0" w:lineRule="atLeast"/>
        <w:jc w:val="center"/>
        <w:rPr>
          <w:color w:val="auto"/>
          <w:highlight w:val="none"/>
        </w:rPr>
      </w:pPr>
      <w:r>
        <w:rPr>
          <w:color w:val="auto"/>
          <w:highlight w:val="none"/>
        </w:rPr>
        <w:t> </w:t>
      </w:r>
    </w:p>
    <w:p w14:paraId="35CA2509">
      <w:pPr>
        <w:pStyle w:val="10"/>
        <w:spacing w:beforeAutospacing="0" w:afterAutospacing="0" w:line="0" w:lineRule="atLeast"/>
        <w:jc w:val="center"/>
        <w:rPr>
          <w:color w:val="auto"/>
          <w:highlight w:val="none"/>
        </w:rPr>
      </w:pPr>
      <w:r>
        <w:rPr>
          <w:color w:val="auto"/>
          <w:highlight w:val="none"/>
        </w:rPr>
        <w:t> </w:t>
      </w:r>
    </w:p>
    <w:p w14:paraId="1F4B7953">
      <w:pPr>
        <w:pStyle w:val="10"/>
        <w:spacing w:beforeAutospacing="0" w:afterAutospacing="0" w:line="0" w:lineRule="atLeast"/>
        <w:jc w:val="center"/>
        <w:rPr>
          <w:color w:val="auto"/>
          <w:highlight w:val="none"/>
        </w:rPr>
      </w:pPr>
      <w:r>
        <w:rPr>
          <w:color w:val="auto"/>
          <w:highlight w:val="none"/>
        </w:rPr>
        <w:t> </w:t>
      </w:r>
    </w:p>
    <w:p w14:paraId="5C92A01D">
      <w:pPr>
        <w:pStyle w:val="10"/>
        <w:spacing w:beforeAutospacing="0" w:afterAutospacing="0" w:line="0" w:lineRule="atLeast"/>
        <w:jc w:val="center"/>
        <w:rPr>
          <w:color w:val="auto"/>
          <w:highlight w:val="none"/>
        </w:rPr>
      </w:pPr>
      <w:r>
        <w:rPr>
          <w:color w:val="auto"/>
          <w:highlight w:val="none"/>
        </w:rPr>
        <w:t> </w:t>
      </w:r>
    </w:p>
    <w:p w14:paraId="1838436E">
      <w:pPr>
        <w:pStyle w:val="10"/>
        <w:spacing w:beforeAutospacing="0" w:afterAutospacing="0" w:line="0" w:lineRule="atLeast"/>
        <w:jc w:val="center"/>
        <w:rPr>
          <w:color w:val="auto"/>
          <w:highlight w:val="none"/>
        </w:rPr>
      </w:pPr>
      <w:r>
        <w:rPr>
          <w:color w:val="auto"/>
          <w:highlight w:val="none"/>
        </w:rPr>
        <w:t> </w:t>
      </w:r>
    </w:p>
    <w:p w14:paraId="27D03E28">
      <w:pPr>
        <w:pStyle w:val="10"/>
        <w:spacing w:beforeAutospacing="0" w:afterAutospacing="0" w:line="0" w:lineRule="atLeast"/>
        <w:jc w:val="center"/>
        <w:rPr>
          <w:color w:val="auto"/>
          <w:highlight w:val="none"/>
        </w:rPr>
      </w:pPr>
    </w:p>
    <w:p w14:paraId="39F718F5">
      <w:pPr>
        <w:rPr>
          <w:rFonts w:ascii="黑体" w:hAnsi="黑体" w:eastAsia="黑体" w:cs="黑体"/>
          <w:b/>
          <w:color w:val="auto"/>
          <w:sz w:val="32"/>
          <w:szCs w:val="32"/>
          <w:highlight w:val="none"/>
        </w:rPr>
      </w:pPr>
      <w:r>
        <w:rPr>
          <w:rFonts w:hint="eastAsia" w:ascii="黑体" w:hAnsi="黑体" w:eastAsia="黑体" w:cs="黑体"/>
          <w:b/>
          <w:color w:val="auto"/>
          <w:sz w:val="32"/>
          <w:szCs w:val="32"/>
          <w:highlight w:val="none"/>
        </w:rPr>
        <w:br w:type="page"/>
      </w:r>
    </w:p>
    <w:p w14:paraId="0CF7B801">
      <w:pPr>
        <w:pStyle w:val="10"/>
        <w:spacing w:beforeAutospacing="0" w:afterAutospacing="0" w:line="0" w:lineRule="atLeast"/>
        <w:jc w:val="center"/>
        <w:rPr>
          <w:color w:val="auto"/>
          <w:highlight w:val="none"/>
        </w:rPr>
      </w:pPr>
      <w:r>
        <w:rPr>
          <w:rFonts w:ascii="黑体" w:hAnsi="宋体" w:eastAsia="黑体" w:cs="黑体"/>
          <w:b/>
          <w:bCs/>
          <w:color w:val="auto"/>
          <w:sz w:val="32"/>
          <w:szCs w:val="32"/>
          <w:highlight w:val="none"/>
        </w:rPr>
        <w:t>十一、 关于符合本国产品标准的声明函</w:t>
      </w:r>
    </w:p>
    <w:p w14:paraId="2A53A09C">
      <w:pPr>
        <w:pStyle w:val="10"/>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十二、联合体协议（参考格式）</w:t>
      </w:r>
    </w:p>
    <w:p w14:paraId="08CFF9B2">
      <w:pPr>
        <w:pStyle w:val="10"/>
        <w:spacing w:beforeAutospacing="0" w:afterAutospacing="0" w:line="0" w:lineRule="atLeast"/>
        <w:jc w:val="both"/>
        <w:rPr>
          <w:color w:val="auto"/>
          <w:highlight w:val="none"/>
        </w:rPr>
      </w:pPr>
      <w:r>
        <w:rPr>
          <w:rFonts w:hint="eastAsia" w:ascii="宋体" w:hAnsi="宋体" w:eastAsia="宋体" w:cs="宋体"/>
          <w:color w:val="auto"/>
          <w:highlight w:val="none"/>
        </w:rPr>
        <w:t>（联合体中各供应商全称）在此达成以下协议：</w:t>
      </w:r>
    </w:p>
    <w:p w14:paraId="0E719EB5">
      <w:pPr>
        <w:pStyle w:val="1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w:t>
      </w:r>
      <w:r>
        <w:rPr>
          <w:rFonts w:hint="eastAsia"/>
          <w:color w:val="auto"/>
          <w:highlight w:val="none"/>
        </w:rPr>
        <w:t>盐城市亭湖区机关事务服务中心</w:t>
      </w:r>
      <w:r>
        <w:rPr>
          <w:rFonts w:hint="eastAsia" w:ascii="宋体" w:hAnsi="宋体" w:eastAsia="宋体" w:cs="宋体"/>
          <w:color w:val="auto"/>
          <w:highlight w:val="none"/>
        </w:rPr>
        <w:t>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0C1248D6">
      <w:pPr>
        <w:pStyle w:val="1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58E323A4">
      <w:pPr>
        <w:pStyle w:val="1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7DFDF73">
      <w:pPr>
        <w:pStyle w:val="10"/>
        <w:spacing w:beforeAutospacing="0" w:afterAutospacing="0" w:line="0" w:lineRule="atLeast"/>
        <w:ind w:firstLine="645"/>
        <w:jc w:val="both"/>
        <w:rPr>
          <w:color w:val="auto"/>
          <w:highlight w:val="none"/>
        </w:rPr>
      </w:pPr>
      <w:r>
        <w:rPr>
          <w:color w:val="auto"/>
          <w:highlight w:val="none"/>
        </w:rPr>
        <w:t> </w:t>
      </w:r>
    </w:p>
    <w:p w14:paraId="5433C8F1">
      <w:pPr>
        <w:pStyle w:val="1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备注：本磋商文件中要求加盖CA电子公章的地方，仅需加盖牵头单位的CA电子公章。</w:t>
      </w:r>
    </w:p>
    <w:p w14:paraId="6A284C0D">
      <w:pPr>
        <w:pStyle w:val="1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xml:space="preserve">                                          </w:t>
      </w:r>
    </w:p>
    <w:p w14:paraId="049947C5">
      <w:pPr>
        <w:pStyle w:val="10"/>
        <w:spacing w:beforeAutospacing="0" w:afterAutospacing="0" w:line="0" w:lineRule="atLeast"/>
        <w:ind w:firstLine="645"/>
        <w:jc w:val="right"/>
        <w:rPr>
          <w:color w:val="auto"/>
          <w:highlight w:val="none"/>
        </w:rPr>
      </w:pPr>
      <w:r>
        <w:rPr>
          <w:rFonts w:hint="eastAsia" w:ascii="宋体" w:hAnsi="宋体" w:eastAsia="宋体" w:cs="宋体"/>
          <w:color w:val="auto"/>
          <w:highlight w:val="none"/>
        </w:rPr>
        <w:t xml:space="preserve">联合体中各供应商全称（公章）：     </w:t>
      </w:r>
    </w:p>
    <w:p w14:paraId="7499FDA6">
      <w:pPr>
        <w:pStyle w:val="1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日期：</w:t>
      </w:r>
    </w:p>
    <w:p w14:paraId="4D1914D1">
      <w:pPr>
        <w:pStyle w:val="10"/>
        <w:spacing w:beforeAutospacing="0" w:afterAutospacing="0" w:line="0" w:lineRule="atLeast"/>
        <w:ind w:firstLine="645"/>
        <w:jc w:val="both"/>
        <w:rPr>
          <w:color w:val="auto"/>
          <w:highlight w:val="none"/>
        </w:rPr>
      </w:pPr>
      <w:r>
        <w:rPr>
          <w:color w:val="auto"/>
          <w:highlight w:val="none"/>
        </w:rPr>
        <w:t> </w:t>
      </w:r>
    </w:p>
    <w:p w14:paraId="3769B31B">
      <w:pPr>
        <w:pStyle w:val="10"/>
        <w:spacing w:beforeAutospacing="0" w:afterAutospacing="0" w:line="0" w:lineRule="atLeast"/>
        <w:jc w:val="both"/>
        <w:rPr>
          <w:color w:val="auto"/>
          <w:highlight w:val="none"/>
        </w:rPr>
      </w:pPr>
      <w:r>
        <w:rPr>
          <w:color w:val="auto"/>
          <w:highlight w:val="none"/>
        </w:rPr>
        <w:t> </w:t>
      </w:r>
    </w:p>
    <w:p w14:paraId="212FAB10">
      <w:pPr>
        <w:pStyle w:val="10"/>
        <w:spacing w:beforeAutospacing="0" w:afterAutospacing="0" w:line="0" w:lineRule="atLeast"/>
        <w:jc w:val="both"/>
        <w:rPr>
          <w:color w:val="auto"/>
          <w:highlight w:val="none"/>
        </w:rPr>
      </w:pPr>
      <w:r>
        <w:rPr>
          <w:color w:val="auto"/>
          <w:highlight w:val="none"/>
        </w:rPr>
        <w:t> </w:t>
      </w:r>
    </w:p>
    <w:p w14:paraId="6015D062">
      <w:pPr>
        <w:pStyle w:val="10"/>
        <w:spacing w:beforeAutospacing="0" w:afterAutospacing="0" w:line="0" w:lineRule="atLeast"/>
        <w:jc w:val="both"/>
        <w:rPr>
          <w:color w:val="auto"/>
          <w:highlight w:val="none"/>
        </w:rPr>
      </w:pPr>
      <w:r>
        <w:rPr>
          <w:color w:val="auto"/>
          <w:highlight w:val="none"/>
        </w:rPr>
        <w:t> </w:t>
      </w:r>
    </w:p>
    <w:p w14:paraId="2D3E319D">
      <w:pPr>
        <w:pStyle w:val="10"/>
        <w:spacing w:beforeAutospacing="0" w:afterAutospacing="0" w:line="0" w:lineRule="atLeast"/>
        <w:jc w:val="both"/>
        <w:rPr>
          <w:color w:val="auto"/>
          <w:highlight w:val="none"/>
        </w:rPr>
      </w:pPr>
      <w:r>
        <w:rPr>
          <w:color w:val="auto"/>
          <w:highlight w:val="none"/>
        </w:rPr>
        <w:t> </w:t>
      </w:r>
    </w:p>
    <w:p w14:paraId="45D82A55">
      <w:pPr>
        <w:pStyle w:val="10"/>
        <w:spacing w:beforeAutospacing="0" w:afterAutospacing="0" w:line="0" w:lineRule="atLeast"/>
        <w:jc w:val="both"/>
        <w:rPr>
          <w:color w:val="auto"/>
          <w:highlight w:val="none"/>
        </w:rPr>
      </w:pPr>
      <w:r>
        <w:rPr>
          <w:color w:val="auto"/>
          <w:highlight w:val="none"/>
        </w:rPr>
        <w:t> </w:t>
      </w:r>
    </w:p>
    <w:p w14:paraId="34383291">
      <w:pPr>
        <w:pStyle w:val="10"/>
        <w:spacing w:beforeAutospacing="0" w:afterAutospacing="0" w:line="0" w:lineRule="atLeast"/>
        <w:jc w:val="both"/>
        <w:rPr>
          <w:color w:val="auto"/>
          <w:highlight w:val="none"/>
        </w:rPr>
      </w:pPr>
      <w:r>
        <w:rPr>
          <w:color w:val="auto"/>
          <w:highlight w:val="none"/>
        </w:rPr>
        <w:t> </w:t>
      </w:r>
    </w:p>
    <w:p w14:paraId="3D628153">
      <w:pPr>
        <w:pStyle w:val="10"/>
        <w:spacing w:beforeAutospacing="0" w:afterAutospacing="0"/>
        <w:jc w:val="both"/>
        <w:rPr>
          <w:color w:val="auto"/>
          <w:highlight w:val="none"/>
        </w:rPr>
      </w:pPr>
      <w:r>
        <w:rPr>
          <w:color w:val="auto"/>
          <w:highlight w:val="none"/>
        </w:rPr>
        <w:t> </w:t>
      </w:r>
    </w:p>
    <w:p w14:paraId="3E0E471B">
      <w:pPr>
        <w:pStyle w:val="10"/>
        <w:spacing w:beforeAutospacing="0" w:afterAutospacing="0"/>
        <w:jc w:val="both"/>
        <w:rPr>
          <w:color w:val="auto"/>
          <w:highlight w:val="none"/>
        </w:rPr>
      </w:pPr>
    </w:p>
    <w:p w14:paraId="14A55609">
      <w:pPr>
        <w:pStyle w:val="10"/>
        <w:spacing w:beforeAutospacing="0" w:afterAutospacing="0"/>
        <w:jc w:val="both"/>
        <w:rPr>
          <w:color w:val="auto"/>
          <w:highlight w:val="none"/>
        </w:rPr>
      </w:pPr>
    </w:p>
    <w:p w14:paraId="30E11F3A">
      <w:pPr>
        <w:pStyle w:val="10"/>
        <w:spacing w:beforeAutospacing="0" w:afterAutospacing="0"/>
        <w:jc w:val="both"/>
        <w:rPr>
          <w:color w:val="auto"/>
          <w:highlight w:val="none"/>
        </w:rPr>
      </w:pPr>
    </w:p>
    <w:p w14:paraId="5A7AC27C">
      <w:pPr>
        <w:pStyle w:val="10"/>
        <w:spacing w:beforeAutospacing="0" w:afterAutospacing="0"/>
        <w:jc w:val="both"/>
        <w:rPr>
          <w:color w:val="auto"/>
          <w:highlight w:val="none"/>
        </w:rPr>
      </w:pPr>
    </w:p>
    <w:p w14:paraId="1C1CC56F">
      <w:pPr>
        <w:pStyle w:val="10"/>
        <w:spacing w:beforeAutospacing="0" w:afterAutospacing="0"/>
        <w:jc w:val="both"/>
        <w:rPr>
          <w:color w:val="auto"/>
          <w:highlight w:val="none"/>
        </w:rPr>
      </w:pPr>
      <w:r>
        <w:rPr>
          <w:color w:val="auto"/>
          <w:highlight w:val="none"/>
        </w:rPr>
        <w:t> </w:t>
      </w:r>
    </w:p>
    <w:p w14:paraId="37E5D492">
      <w:pPr>
        <w:pStyle w:val="10"/>
        <w:spacing w:beforeAutospacing="0" w:afterAutospacing="0"/>
        <w:jc w:val="both"/>
        <w:rPr>
          <w:color w:val="auto"/>
          <w:highlight w:val="none"/>
        </w:rPr>
      </w:pPr>
      <w:r>
        <w:rPr>
          <w:color w:val="auto"/>
          <w:highlight w:val="none"/>
        </w:rPr>
        <w:t> </w:t>
      </w:r>
    </w:p>
    <w:p w14:paraId="25C1118F">
      <w:pP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6912FFD9">
      <w:pPr>
        <w:pStyle w:val="10"/>
        <w:spacing w:beforeAutospacing="0" w:afterAutospacing="0"/>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十三、分项报价表</w:t>
      </w:r>
    </w:p>
    <w:tbl>
      <w:tblPr>
        <w:tblStyle w:val="11"/>
        <w:tblW w:w="4998" w:type="pct"/>
        <w:tblInd w:w="0" w:type="dxa"/>
        <w:tblLayout w:type="autofit"/>
        <w:tblCellMar>
          <w:top w:w="0" w:type="dxa"/>
          <w:left w:w="108" w:type="dxa"/>
          <w:bottom w:w="0" w:type="dxa"/>
          <w:right w:w="108" w:type="dxa"/>
        </w:tblCellMar>
      </w:tblPr>
      <w:tblGrid>
        <w:gridCol w:w="695"/>
        <w:gridCol w:w="1748"/>
        <w:gridCol w:w="625"/>
        <w:gridCol w:w="697"/>
        <w:gridCol w:w="1064"/>
        <w:gridCol w:w="1256"/>
        <w:gridCol w:w="3131"/>
      </w:tblGrid>
      <w:tr w14:paraId="419F0000">
        <w:tblPrEx>
          <w:tblCellMar>
            <w:top w:w="0" w:type="dxa"/>
            <w:left w:w="108" w:type="dxa"/>
            <w:bottom w:w="0" w:type="dxa"/>
            <w:right w:w="108" w:type="dxa"/>
          </w:tblCellMar>
        </w:tblPrEx>
        <w:trPr>
          <w:trHeight w:val="540" w:hRule="atLeast"/>
        </w:trPr>
        <w:tc>
          <w:tcPr>
            <w:tcW w:w="37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EE82FA">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序号</w:t>
            </w:r>
          </w:p>
        </w:tc>
        <w:tc>
          <w:tcPr>
            <w:tcW w:w="9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BC70FF">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标的物名称</w:t>
            </w:r>
          </w:p>
        </w:tc>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C48E4B">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人数</w:t>
            </w:r>
          </w:p>
        </w:tc>
        <w:tc>
          <w:tcPr>
            <w:tcW w:w="3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C37720">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单位</w:t>
            </w:r>
          </w:p>
        </w:tc>
        <w:tc>
          <w:tcPr>
            <w:tcW w:w="57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F0993A">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单价（元/人/月）</w:t>
            </w:r>
          </w:p>
        </w:tc>
        <w:tc>
          <w:tcPr>
            <w:tcW w:w="6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C508F2">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总价（元）/年（12个月）</w:t>
            </w:r>
          </w:p>
        </w:tc>
        <w:tc>
          <w:tcPr>
            <w:tcW w:w="16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D3133C">
            <w:pPr>
              <w:widowControl/>
              <w:jc w:val="center"/>
              <w:textAlignment w:val="center"/>
              <w:rPr>
                <w:rFonts w:cs="宋体" w:asciiTheme="minorEastAsia" w:hAnsiTheme="minorEastAsia"/>
                <w:b/>
                <w:bCs/>
                <w:color w:val="auto"/>
                <w:szCs w:val="21"/>
                <w:highlight w:val="none"/>
              </w:rPr>
            </w:pPr>
            <w:r>
              <w:rPr>
                <w:rStyle w:val="22"/>
                <w:rFonts w:hint="default" w:asciiTheme="minorEastAsia" w:hAnsiTheme="minorEastAsia" w:eastAsiaTheme="minorEastAsia"/>
                <w:color w:val="auto"/>
                <w:sz w:val="21"/>
                <w:szCs w:val="21"/>
                <w:highlight w:val="none"/>
                <w:lang w:bidi="ar"/>
              </w:rPr>
              <w:t xml:space="preserve"> 备注</w:t>
            </w:r>
            <w:r>
              <w:rPr>
                <w:rStyle w:val="23"/>
                <w:rFonts w:hint="default" w:asciiTheme="minorEastAsia" w:hAnsiTheme="minorEastAsia" w:eastAsiaTheme="minorEastAsia"/>
                <w:color w:val="auto"/>
                <w:sz w:val="21"/>
                <w:szCs w:val="21"/>
                <w:highlight w:val="none"/>
                <w:lang w:bidi="ar"/>
              </w:rPr>
              <w:t>（栏内要求必须完全响应，否则作无效标书处理）</w:t>
            </w:r>
          </w:p>
        </w:tc>
      </w:tr>
      <w:tr w14:paraId="0D48B600">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4B34B">
            <w:pPr>
              <w:jc w:val="center"/>
              <w:rPr>
                <w:rFonts w:cs="宋体" w:asciiTheme="minorEastAsia" w:hAnsiTheme="minorEastAsia"/>
                <w:b/>
                <w:bCs/>
                <w:color w:val="auto"/>
                <w:szCs w:val="21"/>
                <w:highlight w:val="none"/>
              </w:rPr>
            </w:pPr>
          </w:p>
        </w:tc>
        <w:tc>
          <w:tcPr>
            <w:tcW w:w="9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33264">
            <w:pPr>
              <w:jc w:val="center"/>
              <w:rPr>
                <w:rFonts w:cs="宋体" w:asciiTheme="minorEastAsia" w:hAnsiTheme="minorEastAsia"/>
                <w:b/>
                <w:bCs/>
                <w:color w:val="auto"/>
                <w:szCs w:val="21"/>
                <w:highlight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8A6CB">
            <w:pPr>
              <w:jc w:val="center"/>
              <w:rPr>
                <w:rFonts w:cs="宋体" w:asciiTheme="minorEastAsia" w:hAnsiTheme="minorEastAsia"/>
                <w:b/>
                <w:bCs/>
                <w:color w:val="auto"/>
                <w:szCs w:val="21"/>
                <w:highlight w:val="none"/>
              </w:rPr>
            </w:pPr>
          </w:p>
        </w:tc>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C0796">
            <w:pPr>
              <w:jc w:val="center"/>
              <w:rPr>
                <w:rFonts w:cs="宋体" w:asciiTheme="minorEastAsia" w:hAnsiTheme="minorEastAsia"/>
                <w:b/>
                <w:bCs/>
                <w:color w:val="auto"/>
                <w:szCs w:val="21"/>
                <w:highlight w:val="none"/>
              </w:rPr>
            </w:pPr>
          </w:p>
        </w:tc>
        <w:tc>
          <w:tcPr>
            <w:tcW w:w="5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FD943">
            <w:pPr>
              <w:jc w:val="center"/>
              <w:rPr>
                <w:rFonts w:cs="宋体" w:asciiTheme="minorEastAsia" w:hAnsiTheme="minorEastAsia"/>
                <w:b/>
                <w:bCs/>
                <w:color w:val="auto"/>
                <w:szCs w:val="21"/>
                <w:highlight w:val="none"/>
              </w:rPr>
            </w:pPr>
          </w:p>
        </w:tc>
        <w:tc>
          <w:tcPr>
            <w:tcW w:w="6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2883E">
            <w:pPr>
              <w:jc w:val="center"/>
              <w:rPr>
                <w:rFonts w:cs="宋体" w:asciiTheme="minorEastAsia" w:hAnsiTheme="minorEastAsia"/>
                <w:b/>
                <w:bCs/>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D891E">
            <w:pPr>
              <w:jc w:val="center"/>
              <w:rPr>
                <w:rFonts w:cs="宋体" w:asciiTheme="minorEastAsia" w:hAnsiTheme="minorEastAsia"/>
                <w:b/>
                <w:bCs/>
                <w:color w:val="auto"/>
                <w:szCs w:val="21"/>
                <w:highlight w:val="none"/>
              </w:rPr>
            </w:pPr>
          </w:p>
        </w:tc>
      </w:tr>
      <w:tr w14:paraId="56740FE4">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FAB7A">
            <w:pPr>
              <w:jc w:val="center"/>
              <w:rPr>
                <w:rFonts w:cs="宋体" w:asciiTheme="minorEastAsia" w:hAnsiTheme="minorEastAsia"/>
                <w:b/>
                <w:bCs/>
                <w:color w:val="auto"/>
                <w:szCs w:val="21"/>
                <w:highlight w:val="none"/>
              </w:rPr>
            </w:pPr>
          </w:p>
        </w:tc>
        <w:tc>
          <w:tcPr>
            <w:tcW w:w="9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A245D">
            <w:pPr>
              <w:jc w:val="center"/>
              <w:rPr>
                <w:rFonts w:cs="宋体" w:asciiTheme="minorEastAsia" w:hAnsiTheme="minorEastAsia"/>
                <w:b/>
                <w:bCs/>
                <w:color w:val="auto"/>
                <w:szCs w:val="21"/>
                <w:highlight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71005">
            <w:pPr>
              <w:jc w:val="center"/>
              <w:rPr>
                <w:rFonts w:cs="宋体" w:asciiTheme="minorEastAsia" w:hAnsiTheme="minorEastAsia"/>
                <w:b/>
                <w:bCs/>
                <w:color w:val="auto"/>
                <w:szCs w:val="21"/>
                <w:highlight w:val="none"/>
              </w:rPr>
            </w:pPr>
          </w:p>
        </w:tc>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E85B9">
            <w:pPr>
              <w:jc w:val="center"/>
              <w:rPr>
                <w:rFonts w:cs="宋体" w:asciiTheme="minorEastAsia" w:hAnsiTheme="minorEastAsia"/>
                <w:b/>
                <w:bCs/>
                <w:color w:val="auto"/>
                <w:szCs w:val="21"/>
                <w:highlight w:val="none"/>
              </w:rPr>
            </w:pPr>
          </w:p>
        </w:tc>
        <w:tc>
          <w:tcPr>
            <w:tcW w:w="5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09C80">
            <w:pPr>
              <w:jc w:val="center"/>
              <w:rPr>
                <w:rFonts w:cs="宋体" w:asciiTheme="minorEastAsia" w:hAnsiTheme="minorEastAsia"/>
                <w:b/>
                <w:bCs/>
                <w:color w:val="auto"/>
                <w:szCs w:val="21"/>
                <w:highlight w:val="none"/>
              </w:rPr>
            </w:pPr>
          </w:p>
        </w:tc>
        <w:tc>
          <w:tcPr>
            <w:tcW w:w="6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A68A4">
            <w:pPr>
              <w:jc w:val="center"/>
              <w:rPr>
                <w:rFonts w:cs="宋体" w:asciiTheme="minorEastAsia" w:hAnsiTheme="minorEastAsia"/>
                <w:b/>
                <w:bCs/>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B00CD">
            <w:pPr>
              <w:jc w:val="center"/>
              <w:rPr>
                <w:rFonts w:cs="宋体" w:asciiTheme="minorEastAsia" w:hAnsiTheme="minorEastAsia"/>
                <w:b/>
                <w:bCs/>
                <w:color w:val="auto"/>
                <w:szCs w:val="21"/>
                <w:highlight w:val="none"/>
              </w:rPr>
            </w:pPr>
          </w:p>
        </w:tc>
      </w:tr>
      <w:tr w14:paraId="2371AB90">
        <w:tblPrEx>
          <w:tblCellMar>
            <w:top w:w="0" w:type="dxa"/>
            <w:left w:w="108" w:type="dxa"/>
            <w:bottom w:w="0" w:type="dxa"/>
            <w:right w:w="108" w:type="dxa"/>
          </w:tblCellMar>
        </w:tblPrEx>
        <w:trPr>
          <w:trHeight w:val="540"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471C4">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1</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AA114">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服务人员工资、社保、公积金</w:t>
            </w:r>
          </w:p>
        </w:tc>
        <w:tc>
          <w:tcPr>
            <w:tcW w:w="129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6D3C62">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 xml:space="preserve">（以下各项合计） </w:t>
            </w: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9BAC2">
            <w:pPr>
              <w:widowControl/>
              <w:jc w:val="center"/>
              <w:textAlignment w:val="center"/>
              <w:rPr>
                <w:rFonts w:cs="宋体" w:asciiTheme="minorEastAsia" w:hAnsiTheme="minorEastAsia"/>
                <w:b/>
                <w:bCs/>
                <w:color w:val="auto"/>
                <w:szCs w:val="21"/>
                <w:highlight w:val="none"/>
              </w:rPr>
            </w:pP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C824F">
            <w:pPr>
              <w:jc w:val="center"/>
              <w:rPr>
                <w:rFonts w:cs="宋体" w:asciiTheme="minorEastAsia" w:hAnsiTheme="minorEastAsia"/>
                <w:b/>
                <w:bCs/>
                <w:color w:val="auto"/>
                <w:szCs w:val="21"/>
                <w:highlight w:val="none"/>
              </w:rPr>
            </w:pPr>
          </w:p>
        </w:tc>
      </w:tr>
      <w:tr w14:paraId="47B08C34">
        <w:tblPrEx>
          <w:tblCellMar>
            <w:top w:w="0" w:type="dxa"/>
            <w:left w:w="108" w:type="dxa"/>
            <w:bottom w:w="0" w:type="dxa"/>
            <w:right w:w="108" w:type="dxa"/>
          </w:tblCellMar>
        </w:tblPrEx>
        <w:trPr>
          <w:trHeight w:val="540" w:hRule="atLeast"/>
        </w:trPr>
        <w:tc>
          <w:tcPr>
            <w:tcW w:w="37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3BD307">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1.1</w:t>
            </w:r>
            <w:r>
              <w:rPr>
                <w:rFonts w:hint="eastAsia" w:cs="宋体" w:asciiTheme="minorEastAsia" w:hAnsiTheme="minorEastAsia"/>
                <w:color w:val="auto"/>
                <w:kern w:val="0"/>
                <w:szCs w:val="21"/>
                <w:highlight w:val="none"/>
                <w:lang w:bidi="ar"/>
              </w:rPr>
              <w:br w:type="textWrapping"/>
            </w:r>
            <w:r>
              <w:rPr>
                <w:rFonts w:hint="eastAsia" w:cs="宋体" w:asciiTheme="minorEastAsia" w:hAnsiTheme="minorEastAsia"/>
                <w:color w:val="auto"/>
                <w:kern w:val="0"/>
                <w:szCs w:val="21"/>
                <w:highlight w:val="none"/>
                <w:lang w:bidi="ar"/>
              </w:rPr>
              <w:t>（人员工资）</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70AA8">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项目经理</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88F00">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E0247">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26381">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AA9CE">
            <w:pPr>
              <w:widowControl/>
              <w:jc w:val="center"/>
              <w:textAlignment w:val="center"/>
              <w:rPr>
                <w:rFonts w:cs="宋体" w:asciiTheme="minorEastAsia" w:hAnsiTheme="minorEastAsia"/>
                <w:color w:val="auto"/>
                <w:szCs w:val="21"/>
                <w:highlight w:val="none"/>
              </w:rPr>
            </w:pPr>
          </w:p>
        </w:tc>
        <w:tc>
          <w:tcPr>
            <w:tcW w:w="16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83C558">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所有人员工资不低于本市最低工资标准2430元/人/月，报价不得出现小数，精确到整元数进行报价。</w:t>
            </w:r>
          </w:p>
        </w:tc>
      </w:tr>
      <w:tr w14:paraId="197EF14C">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BD47E">
            <w:pPr>
              <w:jc w:val="center"/>
              <w:rPr>
                <w:rFonts w:cs="宋体" w:asciiTheme="minorEastAsia" w:hAnsiTheme="minorEastAsia"/>
                <w:color w:val="auto"/>
                <w:szCs w:val="21"/>
                <w:highlight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7168D">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厨师长</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98B4E">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C2E69">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7EC1B">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C9C29">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2A88C">
            <w:pPr>
              <w:jc w:val="center"/>
              <w:rPr>
                <w:rFonts w:cs="宋体" w:asciiTheme="minorEastAsia" w:hAnsiTheme="minorEastAsia"/>
                <w:color w:val="auto"/>
                <w:szCs w:val="21"/>
                <w:highlight w:val="none"/>
              </w:rPr>
            </w:pPr>
          </w:p>
        </w:tc>
      </w:tr>
      <w:tr w14:paraId="2E3258D3">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7A062">
            <w:pPr>
              <w:jc w:val="center"/>
              <w:rPr>
                <w:rFonts w:cs="宋体" w:asciiTheme="minorEastAsia" w:hAnsiTheme="minorEastAsia"/>
                <w:color w:val="auto"/>
                <w:szCs w:val="21"/>
                <w:highlight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3BD54">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炉灶厨师</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90561">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5</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E2002">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CF8F4">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38332">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646DC">
            <w:pPr>
              <w:jc w:val="center"/>
              <w:rPr>
                <w:rFonts w:cs="宋体" w:asciiTheme="minorEastAsia" w:hAnsiTheme="minorEastAsia"/>
                <w:color w:val="auto"/>
                <w:szCs w:val="21"/>
                <w:highlight w:val="none"/>
              </w:rPr>
            </w:pPr>
          </w:p>
        </w:tc>
      </w:tr>
      <w:tr w14:paraId="25C11FC9">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0A323">
            <w:pPr>
              <w:jc w:val="center"/>
              <w:rPr>
                <w:rFonts w:cs="宋体" w:asciiTheme="minorEastAsia" w:hAnsiTheme="minorEastAsia"/>
                <w:color w:val="auto"/>
                <w:szCs w:val="21"/>
                <w:highlight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FB127">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切配厨师</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018ED">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4</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27B71">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1D6EE">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708A0">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40ABB">
            <w:pPr>
              <w:jc w:val="center"/>
              <w:rPr>
                <w:rFonts w:cs="宋体" w:asciiTheme="minorEastAsia" w:hAnsiTheme="minorEastAsia"/>
                <w:color w:val="auto"/>
                <w:szCs w:val="21"/>
                <w:highlight w:val="none"/>
              </w:rPr>
            </w:pPr>
          </w:p>
        </w:tc>
      </w:tr>
      <w:tr w14:paraId="38300C05">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45548">
            <w:pPr>
              <w:jc w:val="center"/>
              <w:rPr>
                <w:rFonts w:cs="宋体" w:asciiTheme="minorEastAsia" w:hAnsiTheme="minorEastAsia"/>
                <w:color w:val="auto"/>
                <w:szCs w:val="21"/>
                <w:highlight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E5974">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凉菜厨师</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7FDDD">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F75EC">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6E603">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0CCE0">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6E3DE">
            <w:pPr>
              <w:jc w:val="center"/>
              <w:rPr>
                <w:rFonts w:cs="宋体" w:asciiTheme="minorEastAsia" w:hAnsiTheme="minorEastAsia"/>
                <w:color w:val="auto"/>
                <w:szCs w:val="21"/>
                <w:highlight w:val="none"/>
              </w:rPr>
            </w:pPr>
          </w:p>
        </w:tc>
      </w:tr>
      <w:tr w14:paraId="583935FB">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F13E1">
            <w:pPr>
              <w:jc w:val="center"/>
              <w:rPr>
                <w:rFonts w:cs="宋体" w:asciiTheme="minorEastAsia" w:hAnsiTheme="minorEastAsia"/>
                <w:color w:val="auto"/>
                <w:szCs w:val="21"/>
                <w:highlight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C1C71">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面点厨师</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A6EA2">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2</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216AA">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29756">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790D0">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24909">
            <w:pPr>
              <w:jc w:val="center"/>
              <w:rPr>
                <w:rFonts w:cs="宋体" w:asciiTheme="minorEastAsia" w:hAnsiTheme="minorEastAsia"/>
                <w:color w:val="auto"/>
                <w:szCs w:val="21"/>
                <w:highlight w:val="none"/>
              </w:rPr>
            </w:pPr>
          </w:p>
        </w:tc>
      </w:tr>
      <w:tr w14:paraId="7B53C657">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C86DE">
            <w:pPr>
              <w:jc w:val="center"/>
              <w:rPr>
                <w:rFonts w:cs="宋体" w:asciiTheme="minorEastAsia" w:hAnsiTheme="minorEastAsia"/>
                <w:color w:val="auto"/>
                <w:szCs w:val="21"/>
                <w:highlight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F315D">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服务员</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90398">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8</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5E128">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74B05">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78505">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87DAA">
            <w:pPr>
              <w:jc w:val="center"/>
              <w:rPr>
                <w:rFonts w:cs="宋体" w:asciiTheme="minorEastAsia" w:hAnsiTheme="minorEastAsia"/>
                <w:color w:val="auto"/>
                <w:szCs w:val="21"/>
                <w:highlight w:val="none"/>
              </w:rPr>
            </w:pPr>
          </w:p>
        </w:tc>
      </w:tr>
      <w:tr w14:paraId="2300FA0D">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D4D60">
            <w:pPr>
              <w:jc w:val="center"/>
              <w:rPr>
                <w:rFonts w:cs="宋体" w:asciiTheme="minorEastAsia" w:hAnsiTheme="minorEastAsia"/>
                <w:color w:val="auto"/>
                <w:szCs w:val="21"/>
                <w:highlight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53E0B">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帮厨</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CFE81">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14</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FA434">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02417">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F496B">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DD281">
            <w:pPr>
              <w:jc w:val="center"/>
              <w:rPr>
                <w:rFonts w:cs="宋体" w:asciiTheme="minorEastAsia" w:hAnsiTheme="minorEastAsia"/>
                <w:color w:val="auto"/>
                <w:szCs w:val="21"/>
                <w:highlight w:val="none"/>
              </w:rPr>
            </w:pPr>
          </w:p>
        </w:tc>
      </w:tr>
      <w:tr w14:paraId="64690B04">
        <w:tblPrEx>
          <w:tblCellMar>
            <w:top w:w="0" w:type="dxa"/>
            <w:left w:w="108" w:type="dxa"/>
            <w:bottom w:w="0" w:type="dxa"/>
            <w:right w:w="108" w:type="dxa"/>
          </w:tblCellMar>
        </w:tblPrEx>
        <w:trPr>
          <w:trHeight w:val="2724"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DEA94">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1.2</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53FD4">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社会保险</w:t>
            </w:r>
          </w:p>
        </w:tc>
        <w:tc>
          <w:tcPr>
            <w:tcW w:w="339" w:type="pct"/>
            <w:tcBorders>
              <w:top w:val="nil"/>
              <w:left w:val="single" w:color="000000" w:sz="4" w:space="0"/>
              <w:bottom w:val="single" w:color="000000" w:sz="4" w:space="0"/>
              <w:right w:val="single" w:color="000000" w:sz="4" w:space="0"/>
            </w:tcBorders>
            <w:shd w:val="clear" w:color="auto" w:fill="auto"/>
            <w:vAlign w:val="center"/>
          </w:tcPr>
          <w:p w14:paraId="323B077D">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36</w:t>
            </w:r>
          </w:p>
        </w:tc>
        <w:tc>
          <w:tcPr>
            <w:tcW w:w="378" w:type="pct"/>
            <w:tcBorders>
              <w:top w:val="nil"/>
              <w:left w:val="single" w:color="000000" w:sz="4" w:space="0"/>
              <w:bottom w:val="single" w:color="000000" w:sz="4" w:space="0"/>
              <w:right w:val="single" w:color="000000" w:sz="4" w:space="0"/>
            </w:tcBorders>
            <w:shd w:val="clear" w:color="auto" w:fill="auto"/>
            <w:vAlign w:val="center"/>
          </w:tcPr>
          <w:p w14:paraId="487A24F4">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nil"/>
              <w:left w:val="single" w:color="000000" w:sz="4" w:space="0"/>
              <w:bottom w:val="single" w:color="000000" w:sz="4" w:space="0"/>
              <w:right w:val="single" w:color="000000" w:sz="4" w:space="0"/>
            </w:tcBorders>
            <w:shd w:val="clear" w:color="auto" w:fill="auto"/>
            <w:vAlign w:val="center"/>
          </w:tcPr>
          <w:p w14:paraId="75538D11">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BCB47">
            <w:pPr>
              <w:widowControl/>
              <w:jc w:val="center"/>
              <w:textAlignment w:val="center"/>
              <w:rPr>
                <w:rFonts w:cs="宋体" w:asciiTheme="minorEastAsia" w:hAnsiTheme="minorEastAsia"/>
                <w:color w:val="auto"/>
                <w:szCs w:val="21"/>
                <w:highlight w:val="none"/>
              </w:rPr>
            </w:pP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37A0F">
            <w:pPr>
              <w:widowControl/>
              <w:jc w:val="left"/>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所有人员必须足额缴纳保险费用，保险费用应满足执行苏人社发〔2025〕33号《关于发布2025年度社会保险有关基数的通知》，社保（企业部分）不得低于上述文件标准及规定险种测算（规定险种为“五险”，指养老保险金16%、医疗保险金8%、工伤保险金0.7%、生育保险金0.9%、失业保险金0.5%），即不得低于1292.47元/人/月（保留两位小数，小数点后第三位四舍五入）。</w:t>
            </w:r>
          </w:p>
        </w:tc>
      </w:tr>
      <w:tr w14:paraId="6DDD5443">
        <w:tblPrEx>
          <w:tblCellMar>
            <w:top w:w="0" w:type="dxa"/>
            <w:left w:w="108" w:type="dxa"/>
            <w:bottom w:w="0" w:type="dxa"/>
            <w:right w:w="108" w:type="dxa"/>
          </w:tblCellMar>
        </w:tblPrEx>
        <w:trPr>
          <w:trHeight w:val="540" w:hRule="atLeast"/>
        </w:trPr>
        <w:tc>
          <w:tcPr>
            <w:tcW w:w="37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66DFAE">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1.3</w:t>
            </w:r>
            <w:r>
              <w:rPr>
                <w:rFonts w:hint="eastAsia" w:cs="宋体" w:asciiTheme="minorEastAsia" w:hAnsiTheme="minorEastAsia"/>
                <w:color w:val="auto"/>
                <w:kern w:val="0"/>
                <w:szCs w:val="21"/>
                <w:highlight w:val="none"/>
                <w:lang w:bidi="ar"/>
              </w:rPr>
              <w:br w:type="textWrapping"/>
            </w:r>
            <w:r>
              <w:rPr>
                <w:rFonts w:hint="eastAsia" w:cs="宋体" w:asciiTheme="minorEastAsia" w:hAnsiTheme="minorEastAsia"/>
                <w:color w:val="auto"/>
                <w:kern w:val="0"/>
                <w:szCs w:val="21"/>
                <w:highlight w:val="none"/>
                <w:lang w:bidi="ar"/>
              </w:rPr>
              <w:t>（公积金）</w:t>
            </w:r>
          </w:p>
        </w:tc>
        <w:tc>
          <w:tcPr>
            <w:tcW w:w="948" w:type="pct"/>
            <w:tcBorders>
              <w:top w:val="single" w:color="000000" w:sz="4" w:space="0"/>
              <w:left w:val="nil"/>
              <w:bottom w:val="single" w:color="000000" w:sz="4" w:space="0"/>
              <w:right w:val="single" w:color="000000" w:sz="4" w:space="0"/>
            </w:tcBorders>
            <w:shd w:val="clear" w:color="auto" w:fill="auto"/>
            <w:vAlign w:val="center"/>
          </w:tcPr>
          <w:p w14:paraId="65287E7D">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项目经理</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CC278">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B8BE7">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1E816">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BBA8A">
            <w:pPr>
              <w:widowControl/>
              <w:jc w:val="center"/>
              <w:textAlignment w:val="center"/>
              <w:rPr>
                <w:rFonts w:cs="宋体" w:asciiTheme="minorEastAsia" w:hAnsiTheme="minorEastAsia"/>
                <w:color w:val="auto"/>
                <w:szCs w:val="21"/>
                <w:highlight w:val="none"/>
              </w:rPr>
            </w:pPr>
          </w:p>
        </w:tc>
        <w:tc>
          <w:tcPr>
            <w:tcW w:w="16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49F8DE">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住房公积金按不低于122元/人/月（整元数）缴纳；如投标单位按月最低工资标准2430元/人/月进行投标报价，需参照苏人社规〔2025〕3号《省人力资源社会保障厅关于调整全省最低工资标准的通知》文件要求，即住房公积金（职工部分）由投标单位缴纳，且不得低于122元/人/月（整元数），则报价时公积金应按244元/人/月（整元数）填报。</w:t>
            </w:r>
          </w:p>
        </w:tc>
      </w:tr>
      <w:tr w14:paraId="18185BA6">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38D01">
            <w:pPr>
              <w:jc w:val="center"/>
              <w:rPr>
                <w:rFonts w:cs="宋体" w:asciiTheme="minorEastAsia" w:hAnsiTheme="minorEastAsia"/>
                <w:color w:val="auto"/>
                <w:szCs w:val="21"/>
                <w:highlight w:val="none"/>
              </w:rPr>
            </w:pPr>
          </w:p>
        </w:tc>
        <w:tc>
          <w:tcPr>
            <w:tcW w:w="948" w:type="pct"/>
            <w:tcBorders>
              <w:top w:val="single" w:color="000000" w:sz="4" w:space="0"/>
              <w:left w:val="nil"/>
              <w:bottom w:val="single" w:color="000000" w:sz="4" w:space="0"/>
              <w:right w:val="single" w:color="000000" w:sz="4" w:space="0"/>
            </w:tcBorders>
            <w:shd w:val="clear" w:color="auto" w:fill="auto"/>
            <w:vAlign w:val="center"/>
          </w:tcPr>
          <w:p w14:paraId="53981514">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厨师长</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2759C">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28553">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A41F6">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C35F3">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296A8">
            <w:pPr>
              <w:jc w:val="center"/>
              <w:rPr>
                <w:rFonts w:cs="宋体" w:asciiTheme="minorEastAsia" w:hAnsiTheme="minorEastAsia"/>
                <w:color w:val="auto"/>
                <w:szCs w:val="21"/>
                <w:highlight w:val="none"/>
              </w:rPr>
            </w:pPr>
          </w:p>
        </w:tc>
      </w:tr>
      <w:tr w14:paraId="0DE02B2D">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7C9C9">
            <w:pPr>
              <w:jc w:val="center"/>
              <w:rPr>
                <w:rFonts w:cs="宋体" w:asciiTheme="minorEastAsia" w:hAnsiTheme="minorEastAsia"/>
                <w:color w:val="auto"/>
                <w:szCs w:val="21"/>
                <w:highlight w:val="none"/>
              </w:rPr>
            </w:pPr>
          </w:p>
        </w:tc>
        <w:tc>
          <w:tcPr>
            <w:tcW w:w="948" w:type="pct"/>
            <w:tcBorders>
              <w:top w:val="single" w:color="000000" w:sz="4" w:space="0"/>
              <w:left w:val="nil"/>
              <w:bottom w:val="single" w:color="000000" w:sz="4" w:space="0"/>
              <w:right w:val="single" w:color="000000" w:sz="4" w:space="0"/>
            </w:tcBorders>
            <w:shd w:val="clear" w:color="auto" w:fill="auto"/>
            <w:vAlign w:val="center"/>
          </w:tcPr>
          <w:p w14:paraId="1AD4739B">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炉灶厨师</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85F56">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5</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FE09D">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F977A">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CBF11">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670B9">
            <w:pPr>
              <w:jc w:val="center"/>
              <w:rPr>
                <w:rFonts w:cs="宋体" w:asciiTheme="minorEastAsia" w:hAnsiTheme="minorEastAsia"/>
                <w:color w:val="auto"/>
                <w:szCs w:val="21"/>
                <w:highlight w:val="none"/>
              </w:rPr>
            </w:pPr>
          </w:p>
        </w:tc>
      </w:tr>
      <w:tr w14:paraId="26EBA716">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B94E4">
            <w:pPr>
              <w:jc w:val="center"/>
              <w:rPr>
                <w:rFonts w:cs="宋体" w:asciiTheme="minorEastAsia" w:hAnsiTheme="minorEastAsia"/>
                <w:color w:val="auto"/>
                <w:szCs w:val="21"/>
                <w:highlight w:val="none"/>
              </w:rPr>
            </w:pPr>
          </w:p>
        </w:tc>
        <w:tc>
          <w:tcPr>
            <w:tcW w:w="948" w:type="pct"/>
            <w:tcBorders>
              <w:top w:val="single" w:color="000000" w:sz="4" w:space="0"/>
              <w:left w:val="nil"/>
              <w:bottom w:val="single" w:color="000000" w:sz="4" w:space="0"/>
              <w:right w:val="single" w:color="000000" w:sz="4" w:space="0"/>
            </w:tcBorders>
            <w:shd w:val="clear" w:color="auto" w:fill="auto"/>
            <w:vAlign w:val="center"/>
          </w:tcPr>
          <w:p w14:paraId="2E93A32C">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切配厨师</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62239">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4</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AD0FE">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0BF1E">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81FC9">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AD99C">
            <w:pPr>
              <w:jc w:val="center"/>
              <w:rPr>
                <w:rFonts w:cs="宋体" w:asciiTheme="minorEastAsia" w:hAnsiTheme="minorEastAsia"/>
                <w:color w:val="auto"/>
                <w:szCs w:val="21"/>
                <w:highlight w:val="none"/>
              </w:rPr>
            </w:pPr>
          </w:p>
        </w:tc>
      </w:tr>
      <w:tr w14:paraId="0E466264">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A029F">
            <w:pPr>
              <w:jc w:val="center"/>
              <w:rPr>
                <w:rFonts w:cs="宋体" w:asciiTheme="minorEastAsia" w:hAnsiTheme="minorEastAsia"/>
                <w:color w:val="auto"/>
                <w:szCs w:val="21"/>
                <w:highlight w:val="none"/>
              </w:rPr>
            </w:pPr>
          </w:p>
        </w:tc>
        <w:tc>
          <w:tcPr>
            <w:tcW w:w="948" w:type="pct"/>
            <w:tcBorders>
              <w:top w:val="single" w:color="000000" w:sz="4" w:space="0"/>
              <w:left w:val="nil"/>
              <w:bottom w:val="single" w:color="000000" w:sz="4" w:space="0"/>
              <w:right w:val="single" w:color="000000" w:sz="4" w:space="0"/>
            </w:tcBorders>
            <w:shd w:val="clear" w:color="auto" w:fill="auto"/>
            <w:vAlign w:val="center"/>
          </w:tcPr>
          <w:p w14:paraId="61A361ED">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凉菜厨师</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0CF34">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68E26">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BCDB5">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2789B">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DD045">
            <w:pPr>
              <w:jc w:val="center"/>
              <w:rPr>
                <w:rFonts w:cs="宋体" w:asciiTheme="minorEastAsia" w:hAnsiTheme="minorEastAsia"/>
                <w:color w:val="auto"/>
                <w:szCs w:val="21"/>
                <w:highlight w:val="none"/>
              </w:rPr>
            </w:pPr>
          </w:p>
        </w:tc>
      </w:tr>
      <w:tr w14:paraId="452A7E48">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976E6">
            <w:pPr>
              <w:jc w:val="center"/>
              <w:rPr>
                <w:rFonts w:cs="宋体" w:asciiTheme="minorEastAsia" w:hAnsiTheme="minorEastAsia"/>
                <w:color w:val="auto"/>
                <w:szCs w:val="21"/>
                <w:highlight w:val="none"/>
              </w:rPr>
            </w:pPr>
          </w:p>
        </w:tc>
        <w:tc>
          <w:tcPr>
            <w:tcW w:w="948" w:type="pct"/>
            <w:tcBorders>
              <w:top w:val="single" w:color="000000" w:sz="4" w:space="0"/>
              <w:left w:val="nil"/>
              <w:bottom w:val="single" w:color="000000" w:sz="4" w:space="0"/>
              <w:right w:val="single" w:color="000000" w:sz="4" w:space="0"/>
            </w:tcBorders>
            <w:shd w:val="clear" w:color="auto" w:fill="auto"/>
            <w:vAlign w:val="center"/>
          </w:tcPr>
          <w:p w14:paraId="57F64990">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面点厨师</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5E1A9">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2</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01281">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509B5">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49A99">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B053D">
            <w:pPr>
              <w:jc w:val="center"/>
              <w:rPr>
                <w:rFonts w:cs="宋体" w:asciiTheme="minorEastAsia" w:hAnsiTheme="minorEastAsia"/>
                <w:color w:val="auto"/>
                <w:szCs w:val="21"/>
                <w:highlight w:val="none"/>
              </w:rPr>
            </w:pPr>
          </w:p>
        </w:tc>
      </w:tr>
      <w:tr w14:paraId="158557E4">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8C641">
            <w:pPr>
              <w:jc w:val="center"/>
              <w:rPr>
                <w:rFonts w:cs="宋体" w:asciiTheme="minorEastAsia" w:hAnsiTheme="minorEastAsia"/>
                <w:color w:val="auto"/>
                <w:szCs w:val="21"/>
                <w:highlight w:val="none"/>
              </w:rPr>
            </w:pPr>
          </w:p>
        </w:tc>
        <w:tc>
          <w:tcPr>
            <w:tcW w:w="948" w:type="pct"/>
            <w:tcBorders>
              <w:top w:val="single" w:color="000000" w:sz="4" w:space="0"/>
              <w:left w:val="nil"/>
              <w:bottom w:val="single" w:color="000000" w:sz="4" w:space="0"/>
              <w:right w:val="single" w:color="000000" w:sz="4" w:space="0"/>
            </w:tcBorders>
            <w:shd w:val="clear" w:color="auto" w:fill="auto"/>
            <w:vAlign w:val="center"/>
          </w:tcPr>
          <w:p w14:paraId="7EFB0BD9">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服务员</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B9DE1">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8</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8A9FA">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49EB1">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71C00">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AAA4B">
            <w:pPr>
              <w:jc w:val="center"/>
              <w:rPr>
                <w:rFonts w:cs="宋体" w:asciiTheme="minorEastAsia" w:hAnsiTheme="minorEastAsia"/>
                <w:color w:val="auto"/>
                <w:szCs w:val="21"/>
                <w:highlight w:val="none"/>
              </w:rPr>
            </w:pPr>
          </w:p>
        </w:tc>
      </w:tr>
      <w:tr w14:paraId="5411E150">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737F3">
            <w:pPr>
              <w:jc w:val="center"/>
              <w:rPr>
                <w:rFonts w:cs="宋体" w:asciiTheme="minorEastAsia" w:hAnsiTheme="minorEastAsia"/>
                <w:color w:val="auto"/>
                <w:szCs w:val="21"/>
                <w:highlight w:val="none"/>
              </w:rPr>
            </w:pPr>
          </w:p>
        </w:tc>
        <w:tc>
          <w:tcPr>
            <w:tcW w:w="948" w:type="pct"/>
            <w:tcBorders>
              <w:top w:val="single" w:color="000000" w:sz="4" w:space="0"/>
              <w:left w:val="nil"/>
              <w:bottom w:val="single" w:color="000000" w:sz="4" w:space="0"/>
              <w:right w:val="single" w:color="000000" w:sz="4" w:space="0"/>
            </w:tcBorders>
            <w:shd w:val="clear" w:color="auto" w:fill="auto"/>
            <w:vAlign w:val="center"/>
          </w:tcPr>
          <w:p w14:paraId="590421B9">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帮厨</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CE8AA">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14</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05450">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26DF0">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96EA5">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75B0A">
            <w:pPr>
              <w:jc w:val="center"/>
              <w:rPr>
                <w:rFonts w:cs="宋体" w:asciiTheme="minorEastAsia" w:hAnsiTheme="minorEastAsia"/>
                <w:color w:val="auto"/>
                <w:szCs w:val="21"/>
                <w:highlight w:val="none"/>
              </w:rPr>
            </w:pPr>
          </w:p>
        </w:tc>
      </w:tr>
      <w:tr w14:paraId="13DD4EA2">
        <w:tblPrEx>
          <w:tblCellMar>
            <w:top w:w="0" w:type="dxa"/>
            <w:left w:w="108" w:type="dxa"/>
            <w:bottom w:w="0" w:type="dxa"/>
            <w:right w:w="108" w:type="dxa"/>
          </w:tblCellMar>
        </w:tblPrEx>
        <w:trPr>
          <w:trHeight w:val="540" w:hRule="atLeast"/>
        </w:trPr>
        <w:tc>
          <w:tcPr>
            <w:tcW w:w="37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4DB863">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2</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F402D">
            <w:pPr>
              <w:widowControl/>
              <w:jc w:val="left"/>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国家法定假日加班费</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68216">
            <w:pPr>
              <w:widowControl/>
              <w:jc w:val="left"/>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人数</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F01A9">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979A8">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单价（元/人/年）</w:t>
            </w: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4529A">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合价（元）</w:t>
            </w: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89B27">
            <w:pPr>
              <w:jc w:val="center"/>
              <w:rPr>
                <w:rFonts w:cs="宋体" w:asciiTheme="minorEastAsia" w:hAnsiTheme="minorEastAsia"/>
                <w:b/>
                <w:bCs/>
                <w:color w:val="auto"/>
                <w:szCs w:val="21"/>
                <w:highlight w:val="none"/>
              </w:rPr>
            </w:pPr>
          </w:p>
        </w:tc>
      </w:tr>
      <w:tr w14:paraId="35FC07A8">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40F13">
            <w:pPr>
              <w:jc w:val="center"/>
              <w:rPr>
                <w:rFonts w:cs="宋体" w:asciiTheme="minorEastAsia" w:hAnsiTheme="minorEastAsia"/>
                <w:b/>
                <w:bCs/>
                <w:color w:val="auto"/>
                <w:szCs w:val="21"/>
                <w:highlight w:val="none"/>
              </w:rPr>
            </w:pPr>
          </w:p>
        </w:tc>
        <w:tc>
          <w:tcPr>
            <w:tcW w:w="2242"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FAD6A6">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 xml:space="preserve">（以下各项合计） </w:t>
            </w: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96F0E">
            <w:pPr>
              <w:widowControl/>
              <w:jc w:val="center"/>
              <w:textAlignment w:val="center"/>
              <w:rPr>
                <w:rFonts w:cs="宋体" w:asciiTheme="minorEastAsia" w:hAnsiTheme="minorEastAsia"/>
                <w:b/>
                <w:bCs/>
                <w:color w:val="auto"/>
                <w:szCs w:val="21"/>
                <w:highlight w:val="none"/>
              </w:rPr>
            </w:pP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CE795">
            <w:pPr>
              <w:jc w:val="center"/>
              <w:rPr>
                <w:rFonts w:cs="宋体" w:asciiTheme="minorEastAsia" w:hAnsiTheme="minorEastAsia"/>
                <w:b/>
                <w:bCs/>
                <w:color w:val="auto"/>
                <w:szCs w:val="21"/>
                <w:highlight w:val="none"/>
              </w:rPr>
            </w:pPr>
          </w:p>
        </w:tc>
      </w:tr>
      <w:tr w14:paraId="7D28D489">
        <w:tblPrEx>
          <w:tblCellMar>
            <w:top w:w="0" w:type="dxa"/>
            <w:left w:w="108" w:type="dxa"/>
            <w:bottom w:w="0" w:type="dxa"/>
            <w:right w:w="108" w:type="dxa"/>
          </w:tblCellMar>
        </w:tblPrEx>
        <w:trPr>
          <w:trHeight w:val="540" w:hRule="atLeast"/>
        </w:trPr>
        <w:tc>
          <w:tcPr>
            <w:tcW w:w="37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0000F7">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国家法定假日加班费</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DFD3B">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厨师长法定节假日加班费</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0A64B">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5D8F6">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19824">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A1061">
            <w:pPr>
              <w:widowControl/>
              <w:jc w:val="center"/>
              <w:textAlignment w:val="center"/>
              <w:rPr>
                <w:rFonts w:cs="宋体" w:asciiTheme="minorEastAsia" w:hAnsiTheme="minorEastAsia"/>
                <w:color w:val="auto"/>
                <w:szCs w:val="21"/>
                <w:highlight w:val="none"/>
              </w:rPr>
            </w:pPr>
          </w:p>
        </w:tc>
        <w:tc>
          <w:tcPr>
            <w:tcW w:w="16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058DB4">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本项目要求每年法定节假日加班天数为13天，各投标人须按不低于</w:t>
            </w:r>
            <w:r>
              <w:rPr>
                <w:rFonts w:hint="eastAsia" w:cs="宋体" w:asciiTheme="minorEastAsia" w:hAnsiTheme="minorEastAsia"/>
                <w:color w:val="auto"/>
                <w:kern w:val="0"/>
                <w:szCs w:val="21"/>
                <w:highlight w:val="none"/>
                <w:lang w:bidi="ar"/>
              </w:rPr>
              <w:br w:type="textWrapping"/>
            </w:r>
            <w:r>
              <w:rPr>
                <w:rFonts w:hint="eastAsia" w:cs="宋体" w:asciiTheme="minorEastAsia" w:hAnsiTheme="minorEastAsia"/>
                <w:color w:val="auto"/>
                <w:kern w:val="0"/>
                <w:szCs w:val="21"/>
                <w:highlight w:val="none"/>
                <w:lang w:bidi="ar"/>
              </w:rPr>
              <w:t>(人员工资/21.75)*3*13元/人/年）填报，否则作无效标书处理。（单价保留两位小数，小数点后第三位四舍五入，用保留后的单价乘人数计算出合价）</w:t>
            </w:r>
          </w:p>
        </w:tc>
      </w:tr>
      <w:tr w14:paraId="206FE9C6">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EFB07">
            <w:pPr>
              <w:jc w:val="center"/>
              <w:rPr>
                <w:rFonts w:cs="宋体" w:asciiTheme="minorEastAsia" w:hAnsiTheme="minorEastAsia"/>
                <w:b/>
                <w:bCs/>
                <w:color w:val="auto"/>
                <w:szCs w:val="21"/>
                <w:highlight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FACF2">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炉灶厨师法定节假日加班费</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24C7E">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3</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2CEDB">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ABF6E">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CAFB2">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C03FD">
            <w:pPr>
              <w:jc w:val="center"/>
              <w:rPr>
                <w:rFonts w:cs="宋体" w:asciiTheme="minorEastAsia" w:hAnsiTheme="minorEastAsia"/>
                <w:color w:val="auto"/>
                <w:szCs w:val="21"/>
                <w:highlight w:val="none"/>
              </w:rPr>
            </w:pPr>
          </w:p>
        </w:tc>
      </w:tr>
      <w:tr w14:paraId="6042B026">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C66ED">
            <w:pPr>
              <w:jc w:val="center"/>
              <w:rPr>
                <w:rFonts w:cs="宋体" w:asciiTheme="minorEastAsia" w:hAnsiTheme="minorEastAsia"/>
                <w:b/>
                <w:bCs/>
                <w:color w:val="auto"/>
                <w:szCs w:val="21"/>
                <w:highlight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C2CC2">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切配厨师法定节假日加班费</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905B8">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CD52B">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77141">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AC946">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99D32">
            <w:pPr>
              <w:jc w:val="center"/>
              <w:rPr>
                <w:rFonts w:cs="宋体" w:asciiTheme="minorEastAsia" w:hAnsiTheme="minorEastAsia"/>
                <w:color w:val="auto"/>
                <w:szCs w:val="21"/>
                <w:highlight w:val="none"/>
              </w:rPr>
            </w:pPr>
          </w:p>
        </w:tc>
      </w:tr>
      <w:tr w14:paraId="6B2FB362">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ED2698">
            <w:pPr>
              <w:jc w:val="center"/>
              <w:rPr>
                <w:rFonts w:cs="宋体" w:asciiTheme="minorEastAsia" w:hAnsiTheme="minorEastAsia"/>
                <w:b/>
                <w:bCs/>
                <w:color w:val="auto"/>
                <w:szCs w:val="21"/>
                <w:highlight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FE429">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面点法定节假日加班费</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AF865">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856CC">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A4A98">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618AB">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97D31">
            <w:pPr>
              <w:jc w:val="center"/>
              <w:rPr>
                <w:rFonts w:cs="宋体" w:asciiTheme="minorEastAsia" w:hAnsiTheme="minorEastAsia"/>
                <w:color w:val="auto"/>
                <w:szCs w:val="21"/>
                <w:highlight w:val="none"/>
              </w:rPr>
            </w:pPr>
          </w:p>
        </w:tc>
      </w:tr>
      <w:tr w14:paraId="22D9599E">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04405">
            <w:pPr>
              <w:jc w:val="center"/>
              <w:rPr>
                <w:rFonts w:cs="宋体" w:asciiTheme="minorEastAsia" w:hAnsiTheme="minorEastAsia"/>
                <w:b/>
                <w:bCs/>
                <w:color w:val="auto"/>
                <w:szCs w:val="21"/>
                <w:highlight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3A6DA">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服务员法定节假日加班费</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DB6AD">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2</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8BD64">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3A74F">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1AECB">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0690A">
            <w:pPr>
              <w:jc w:val="center"/>
              <w:rPr>
                <w:rFonts w:cs="宋体" w:asciiTheme="minorEastAsia" w:hAnsiTheme="minorEastAsia"/>
                <w:color w:val="auto"/>
                <w:szCs w:val="21"/>
                <w:highlight w:val="none"/>
              </w:rPr>
            </w:pPr>
          </w:p>
        </w:tc>
      </w:tr>
      <w:tr w14:paraId="353D46BA">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26477">
            <w:pPr>
              <w:jc w:val="center"/>
              <w:rPr>
                <w:rFonts w:cs="宋体" w:asciiTheme="minorEastAsia" w:hAnsiTheme="minorEastAsia"/>
                <w:b/>
                <w:bCs/>
                <w:color w:val="auto"/>
                <w:szCs w:val="21"/>
                <w:highlight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9ED8C">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帮厨法定节假日加班费</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69968">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2</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BBE2B">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1479A">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F87EB">
            <w:pPr>
              <w:widowControl/>
              <w:jc w:val="center"/>
              <w:textAlignment w:val="center"/>
              <w:rPr>
                <w:rFonts w:cs="宋体" w:asciiTheme="minorEastAsia" w:hAnsiTheme="minorEastAsia"/>
                <w:color w:val="auto"/>
                <w:szCs w:val="21"/>
                <w:highlight w:val="none"/>
              </w:rPr>
            </w:pPr>
          </w:p>
        </w:tc>
        <w:tc>
          <w:tcPr>
            <w:tcW w:w="16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15DC5">
            <w:pPr>
              <w:jc w:val="center"/>
              <w:rPr>
                <w:rFonts w:cs="宋体" w:asciiTheme="minorEastAsia" w:hAnsiTheme="minorEastAsia"/>
                <w:color w:val="auto"/>
                <w:szCs w:val="21"/>
                <w:highlight w:val="none"/>
              </w:rPr>
            </w:pPr>
          </w:p>
        </w:tc>
      </w:tr>
      <w:tr w14:paraId="4F429CE2">
        <w:tblPrEx>
          <w:tblCellMar>
            <w:top w:w="0" w:type="dxa"/>
            <w:left w:w="108" w:type="dxa"/>
            <w:bottom w:w="0" w:type="dxa"/>
            <w:right w:w="108" w:type="dxa"/>
          </w:tblCellMar>
        </w:tblPrEx>
        <w:trPr>
          <w:trHeight w:val="540" w:hRule="atLeast"/>
        </w:trPr>
        <w:tc>
          <w:tcPr>
            <w:tcW w:w="37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FA3C98">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3</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49749">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综合管理杂费</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885BD">
            <w:pPr>
              <w:widowControl/>
              <w:jc w:val="left"/>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人数</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1A8E6">
            <w:pPr>
              <w:widowControl/>
              <w:jc w:val="left"/>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1CF37">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单价（元/人/年）</w:t>
            </w: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544B5">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合价（元）</w:t>
            </w: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2CEC4">
            <w:pPr>
              <w:jc w:val="center"/>
              <w:rPr>
                <w:rFonts w:cs="宋体" w:asciiTheme="minorEastAsia" w:hAnsiTheme="minorEastAsia"/>
                <w:b/>
                <w:bCs/>
                <w:color w:val="auto"/>
                <w:szCs w:val="21"/>
                <w:highlight w:val="none"/>
              </w:rPr>
            </w:pPr>
          </w:p>
        </w:tc>
      </w:tr>
      <w:tr w14:paraId="31A93AEB">
        <w:tblPrEx>
          <w:tblCellMar>
            <w:top w:w="0" w:type="dxa"/>
            <w:left w:w="108" w:type="dxa"/>
            <w:bottom w:w="0" w:type="dxa"/>
            <w:right w:w="108" w:type="dxa"/>
          </w:tblCellMar>
        </w:tblPrEx>
        <w:trPr>
          <w:trHeight w:val="540"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279F9">
            <w:pPr>
              <w:jc w:val="center"/>
              <w:rPr>
                <w:rFonts w:cs="宋体" w:asciiTheme="minorEastAsia" w:hAnsiTheme="minorEastAsia"/>
                <w:b/>
                <w:bCs/>
                <w:color w:val="auto"/>
                <w:szCs w:val="21"/>
                <w:highlight w:val="none"/>
              </w:rPr>
            </w:pPr>
          </w:p>
        </w:tc>
        <w:tc>
          <w:tcPr>
            <w:tcW w:w="2242"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5EF3D9">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 xml:space="preserve">（以下各项合计） </w:t>
            </w: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7D610">
            <w:pPr>
              <w:widowControl/>
              <w:jc w:val="center"/>
              <w:textAlignment w:val="center"/>
              <w:rPr>
                <w:rFonts w:cs="宋体" w:asciiTheme="minorEastAsia" w:hAnsiTheme="minorEastAsia"/>
                <w:b/>
                <w:bCs/>
                <w:color w:val="auto"/>
                <w:szCs w:val="21"/>
                <w:highlight w:val="none"/>
              </w:rPr>
            </w:pP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C344C">
            <w:pPr>
              <w:jc w:val="center"/>
              <w:rPr>
                <w:rFonts w:cs="宋体" w:asciiTheme="minorEastAsia" w:hAnsiTheme="minorEastAsia"/>
                <w:b/>
                <w:bCs/>
                <w:color w:val="auto"/>
                <w:szCs w:val="21"/>
                <w:highlight w:val="none"/>
              </w:rPr>
            </w:pPr>
          </w:p>
        </w:tc>
      </w:tr>
      <w:tr w14:paraId="2A4A9AA2">
        <w:tblPrEx>
          <w:tblCellMar>
            <w:top w:w="0" w:type="dxa"/>
            <w:left w:w="108" w:type="dxa"/>
            <w:bottom w:w="0" w:type="dxa"/>
            <w:right w:w="108" w:type="dxa"/>
          </w:tblCellMar>
        </w:tblPrEx>
        <w:trPr>
          <w:trHeight w:val="945" w:hRule="atLeast"/>
        </w:trPr>
        <w:tc>
          <w:tcPr>
            <w:tcW w:w="377" w:type="pct"/>
            <w:tcBorders>
              <w:top w:val="single" w:color="000000" w:sz="4" w:space="0"/>
              <w:left w:val="single" w:color="000000" w:sz="4" w:space="0"/>
              <w:bottom w:val="nil"/>
              <w:right w:val="single" w:color="000000" w:sz="4" w:space="0"/>
            </w:tcBorders>
            <w:shd w:val="clear" w:color="auto" w:fill="auto"/>
            <w:vAlign w:val="center"/>
          </w:tcPr>
          <w:p w14:paraId="45389213">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综合管理杂费</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6FE41">
            <w:pPr>
              <w:widowControl/>
              <w:jc w:val="left"/>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高温费</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0A99F">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36</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65335">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人</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F1731">
            <w:pPr>
              <w:widowControl/>
              <w:jc w:val="center"/>
              <w:textAlignment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F439D">
            <w:pPr>
              <w:widowControl/>
              <w:jc w:val="center"/>
              <w:textAlignment w:val="center"/>
              <w:rPr>
                <w:rFonts w:cs="宋体" w:asciiTheme="minorEastAsia" w:hAnsiTheme="minorEastAsia"/>
                <w:color w:val="auto"/>
                <w:szCs w:val="21"/>
                <w:highlight w:val="none"/>
              </w:rPr>
            </w:pP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631E8">
            <w:pPr>
              <w:widowControl/>
              <w:jc w:val="left"/>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夏季高温费用每人每月300元，发放6、7、8、9月四个月，各投标人须按不低于1200元/人/年填报，人数不得低于36人。</w:t>
            </w:r>
          </w:p>
        </w:tc>
      </w:tr>
      <w:tr w14:paraId="38A67EC2">
        <w:tblPrEx>
          <w:tblCellMar>
            <w:top w:w="0" w:type="dxa"/>
            <w:left w:w="108" w:type="dxa"/>
            <w:bottom w:w="0" w:type="dxa"/>
            <w:right w:w="108" w:type="dxa"/>
          </w:tblCellMar>
        </w:tblPrEx>
        <w:trPr>
          <w:trHeight w:val="540"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08193">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4</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011BA">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不可预见费等</w:t>
            </w:r>
          </w:p>
        </w:tc>
        <w:tc>
          <w:tcPr>
            <w:tcW w:w="71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B18163">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1年</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3C045">
            <w:pPr>
              <w:jc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C783A">
            <w:pPr>
              <w:widowControl/>
              <w:jc w:val="center"/>
              <w:textAlignment w:val="center"/>
              <w:rPr>
                <w:rFonts w:cs="宋体" w:asciiTheme="minorEastAsia" w:hAnsiTheme="minorEastAsia"/>
                <w:b/>
                <w:bCs/>
                <w:color w:val="auto"/>
                <w:szCs w:val="21"/>
                <w:highlight w:val="none"/>
              </w:rPr>
            </w:pP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6A917">
            <w:pPr>
              <w:widowControl/>
              <w:jc w:val="left"/>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投标人为完成招标文件规定的服务工作所涉及到的一切相关费用。</w:t>
            </w:r>
          </w:p>
        </w:tc>
      </w:tr>
      <w:tr w14:paraId="30D78C88">
        <w:tblPrEx>
          <w:tblCellMar>
            <w:top w:w="0" w:type="dxa"/>
            <w:left w:w="108" w:type="dxa"/>
            <w:bottom w:w="0" w:type="dxa"/>
            <w:right w:w="108" w:type="dxa"/>
          </w:tblCellMar>
        </w:tblPrEx>
        <w:trPr>
          <w:trHeight w:val="540"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8CEFC">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5</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E94E3">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管理费（合理利润）</w:t>
            </w:r>
          </w:p>
        </w:tc>
        <w:tc>
          <w:tcPr>
            <w:tcW w:w="71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91E0D">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1年</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6EFDE">
            <w:pPr>
              <w:jc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2519A">
            <w:pPr>
              <w:widowControl/>
              <w:jc w:val="center"/>
              <w:textAlignment w:val="center"/>
              <w:rPr>
                <w:rFonts w:cs="宋体" w:asciiTheme="minorEastAsia" w:hAnsiTheme="minorEastAsia"/>
                <w:b/>
                <w:bCs/>
                <w:color w:val="auto"/>
                <w:szCs w:val="21"/>
                <w:highlight w:val="none"/>
              </w:rPr>
            </w:pP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4061B">
            <w:pPr>
              <w:widowControl/>
              <w:jc w:val="left"/>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各投标人根据本单位实际情况自行报价</w:t>
            </w:r>
          </w:p>
        </w:tc>
      </w:tr>
      <w:tr w14:paraId="0FA7652A">
        <w:tblPrEx>
          <w:tblCellMar>
            <w:top w:w="0" w:type="dxa"/>
            <w:left w:w="108" w:type="dxa"/>
            <w:bottom w:w="0" w:type="dxa"/>
            <w:right w:w="108" w:type="dxa"/>
          </w:tblCellMar>
        </w:tblPrEx>
        <w:trPr>
          <w:trHeight w:val="540"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12546">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6</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BA56C">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税金</w:t>
            </w:r>
          </w:p>
        </w:tc>
        <w:tc>
          <w:tcPr>
            <w:tcW w:w="71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22486F">
            <w:pPr>
              <w:widowControl/>
              <w:jc w:val="center"/>
              <w:textAlignment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lang w:bidi="ar"/>
              </w:rPr>
              <w:t>1年</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B0AFC">
            <w:pPr>
              <w:jc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EC912">
            <w:pPr>
              <w:widowControl/>
              <w:jc w:val="center"/>
              <w:textAlignment w:val="center"/>
              <w:rPr>
                <w:rFonts w:cs="宋体" w:asciiTheme="minorEastAsia" w:hAnsiTheme="minorEastAsia"/>
                <w:color w:val="auto"/>
                <w:szCs w:val="21"/>
                <w:highlight w:val="none"/>
              </w:rPr>
            </w:pP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E859F">
            <w:pPr>
              <w:widowControl/>
              <w:jc w:val="center"/>
              <w:textAlignment w:val="center"/>
              <w:rPr>
                <w:rFonts w:cs="宋体" w:asciiTheme="minorEastAsia" w:hAnsiTheme="minorEastAsia"/>
                <w:b/>
                <w:bCs/>
                <w:color w:val="auto"/>
                <w:szCs w:val="21"/>
                <w:highlight w:val="none"/>
              </w:rPr>
            </w:pPr>
            <w:r>
              <w:rPr>
                <w:rStyle w:val="22"/>
                <w:rFonts w:hint="default" w:asciiTheme="minorEastAsia" w:hAnsiTheme="minorEastAsia" w:eastAsiaTheme="minorEastAsia"/>
                <w:color w:val="auto"/>
                <w:sz w:val="21"/>
                <w:szCs w:val="21"/>
                <w:highlight w:val="none"/>
                <w:lang w:bidi="ar"/>
              </w:rPr>
              <w:t>税率</w:t>
            </w:r>
            <w:r>
              <w:rPr>
                <w:rStyle w:val="24"/>
                <w:rFonts w:hint="default" w:asciiTheme="minorEastAsia" w:hAnsiTheme="minorEastAsia" w:eastAsiaTheme="minorEastAsia"/>
                <w:color w:val="auto"/>
                <w:sz w:val="21"/>
                <w:szCs w:val="21"/>
                <w:highlight w:val="none"/>
                <w:lang w:bidi="ar"/>
              </w:rPr>
              <w:t xml:space="preserve"> </w:t>
            </w:r>
            <w:r>
              <w:rPr>
                <w:rStyle w:val="25"/>
                <w:rFonts w:hint="default" w:asciiTheme="minorEastAsia" w:hAnsiTheme="minorEastAsia" w:eastAsiaTheme="minorEastAsia"/>
                <w:color w:val="auto"/>
                <w:sz w:val="21"/>
                <w:szCs w:val="21"/>
                <w:highlight w:val="none"/>
                <w:lang w:bidi="ar"/>
              </w:rPr>
              <w:t xml:space="preserve">6.72 </w:t>
            </w:r>
            <w:r>
              <w:rPr>
                <w:rStyle w:val="24"/>
                <w:rFonts w:hint="default" w:asciiTheme="minorEastAsia" w:hAnsiTheme="minorEastAsia" w:eastAsiaTheme="minorEastAsia"/>
                <w:color w:val="auto"/>
                <w:sz w:val="21"/>
                <w:szCs w:val="21"/>
                <w:highlight w:val="none"/>
                <w:lang w:bidi="ar"/>
              </w:rPr>
              <w:t>%</w:t>
            </w:r>
            <w:r>
              <w:rPr>
                <w:rStyle w:val="23"/>
                <w:rFonts w:hint="default" w:asciiTheme="minorEastAsia" w:hAnsiTheme="minorEastAsia" w:eastAsiaTheme="minorEastAsia"/>
                <w:color w:val="auto"/>
                <w:sz w:val="21"/>
                <w:szCs w:val="21"/>
                <w:highlight w:val="none"/>
                <w:lang w:bidi="ar"/>
              </w:rPr>
              <w:t xml:space="preserve"> </w:t>
            </w:r>
          </w:p>
        </w:tc>
      </w:tr>
      <w:tr w14:paraId="27E1E41E">
        <w:tblPrEx>
          <w:tblCellMar>
            <w:top w:w="0" w:type="dxa"/>
            <w:left w:w="108" w:type="dxa"/>
            <w:bottom w:w="0" w:type="dxa"/>
            <w:right w:w="108" w:type="dxa"/>
          </w:tblCellMar>
        </w:tblPrEx>
        <w:trPr>
          <w:trHeight w:val="540" w:hRule="atLeast"/>
        </w:trPr>
        <w:tc>
          <w:tcPr>
            <w:tcW w:w="377" w:type="pct"/>
            <w:tcBorders>
              <w:top w:val="single" w:color="000000" w:sz="4" w:space="0"/>
              <w:left w:val="single" w:color="000000" w:sz="4" w:space="0"/>
              <w:bottom w:val="single" w:color="auto" w:sz="4" w:space="0"/>
              <w:right w:val="single" w:color="000000" w:sz="4" w:space="0"/>
            </w:tcBorders>
            <w:shd w:val="clear" w:color="auto" w:fill="auto"/>
            <w:vAlign w:val="center"/>
          </w:tcPr>
          <w:p w14:paraId="29915749">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7</w:t>
            </w:r>
          </w:p>
        </w:tc>
        <w:tc>
          <w:tcPr>
            <w:tcW w:w="1665" w:type="pct"/>
            <w:gridSpan w:val="3"/>
            <w:tcBorders>
              <w:top w:val="single" w:color="000000" w:sz="4" w:space="0"/>
              <w:left w:val="single" w:color="000000" w:sz="4" w:space="0"/>
              <w:bottom w:val="single" w:color="auto" w:sz="4" w:space="0"/>
              <w:right w:val="single" w:color="000000" w:sz="4" w:space="0"/>
            </w:tcBorders>
            <w:shd w:val="clear" w:color="auto" w:fill="auto"/>
            <w:vAlign w:val="center"/>
          </w:tcPr>
          <w:p w14:paraId="624FE7AE">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合价（1年，365天）</w:t>
            </w:r>
          </w:p>
        </w:tc>
        <w:tc>
          <w:tcPr>
            <w:tcW w:w="576" w:type="pct"/>
            <w:tcBorders>
              <w:top w:val="single" w:color="000000" w:sz="4" w:space="0"/>
              <w:left w:val="single" w:color="000000" w:sz="4" w:space="0"/>
              <w:bottom w:val="single" w:color="auto" w:sz="4" w:space="0"/>
              <w:right w:val="single" w:color="000000" w:sz="4" w:space="0"/>
            </w:tcBorders>
            <w:shd w:val="clear" w:color="auto" w:fill="auto"/>
            <w:vAlign w:val="center"/>
          </w:tcPr>
          <w:p w14:paraId="2789B0A2">
            <w:pPr>
              <w:jc w:val="center"/>
              <w:rPr>
                <w:rFonts w:cs="宋体" w:asciiTheme="minorEastAsia" w:hAnsiTheme="minorEastAsia"/>
                <w:color w:val="auto"/>
                <w:szCs w:val="21"/>
                <w:highlight w:val="none"/>
              </w:rPr>
            </w:pPr>
          </w:p>
        </w:tc>
        <w:tc>
          <w:tcPr>
            <w:tcW w:w="681" w:type="pct"/>
            <w:tcBorders>
              <w:top w:val="single" w:color="000000" w:sz="4" w:space="0"/>
              <w:left w:val="single" w:color="000000" w:sz="4" w:space="0"/>
              <w:bottom w:val="single" w:color="auto" w:sz="4" w:space="0"/>
              <w:right w:val="single" w:color="000000" w:sz="4" w:space="0"/>
            </w:tcBorders>
            <w:shd w:val="clear" w:color="auto" w:fill="auto"/>
            <w:vAlign w:val="center"/>
          </w:tcPr>
          <w:p w14:paraId="2C697F68">
            <w:pPr>
              <w:widowControl/>
              <w:jc w:val="center"/>
              <w:textAlignment w:val="center"/>
              <w:rPr>
                <w:rFonts w:cs="宋体" w:asciiTheme="minorEastAsia" w:hAnsiTheme="minorEastAsia"/>
                <w:color w:val="auto"/>
                <w:szCs w:val="21"/>
                <w:highlight w:val="none"/>
              </w:rPr>
            </w:pPr>
          </w:p>
        </w:tc>
        <w:tc>
          <w:tcPr>
            <w:tcW w:w="1697" w:type="pct"/>
            <w:tcBorders>
              <w:top w:val="single" w:color="000000" w:sz="4" w:space="0"/>
              <w:left w:val="single" w:color="000000" w:sz="4" w:space="0"/>
              <w:bottom w:val="single" w:color="auto" w:sz="4" w:space="0"/>
              <w:right w:val="single" w:color="000000" w:sz="4" w:space="0"/>
            </w:tcBorders>
            <w:shd w:val="clear" w:color="auto" w:fill="auto"/>
            <w:vAlign w:val="center"/>
          </w:tcPr>
          <w:p w14:paraId="1DC2DC75">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计算式：（1项+2项+…+6项）</w:t>
            </w:r>
          </w:p>
        </w:tc>
      </w:tr>
      <w:tr w14:paraId="4FBB9421">
        <w:tblPrEx>
          <w:tblCellMar>
            <w:top w:w="0" w:type="dxa"/>
            <w:left w:w="108" w:type="dxa"/>
            <w:bottom w:w="0" w:type="dxa"/>
            <w:right w:w="108" w:type="dxa"/>
          </w:tblCellMar>
        </w:tblPrEx>
        <w:trPr>
          <w:trHeight w:val="540" w:hRule="atLeast"/>
        </w:trPr>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00EF68A6">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8</w:t>
            </w:r>
          </w:p>
        </w:tc>
        <w:tc>
          <w:tcPr>
            <w:tcW w:w="16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42F9035">
            <w:pPr>
              <w:widowControl/>
              <w:jc w:val="center"/>
              <w:textAlignment w:val="center"/>
              <w:rPr>
                <w:rFonts w:cs="宋体" w:asciiTheme="minorEastAsia" w:hAnsiTheme="minorEastAsia"/>
                <w:b/>
                <w:bCs/>
                <w:color w:val="auto"/>
                <w:szCs w:val="21"/>
                <w:highlight w:val="none"/>
              </w:rPr>
            </w:pPr>
            <w:r>
              <w:rPr>
                <w:rFonts w:hint="eastAsia" w:cs="宋体" w:asciiTheme="minorEastAsia" w:hAnsiTheme="minorEastAsia"/>
                <w:b/>
                <w:bCs/>
                <w:color w:val="auto"/>
                <w:kern w:val="0"/>
                <w:szCs w:val="21"/>
                <w:highlight w:val="none"/>
                <w:lang w:bidi="ar"/>
              </w:rPr>
              <w:t>合价（2年）</w:t>
            </w:r>
          </w:p>
        </w:tc>
        <w:tc>
          <w:tcPr>
            <w:tcW w:w="576" w:type="pct"/>
            <w:tcBorders>
              <w:top w:val="single" w:color="auto" w:sz="4" w:space="0"/>
              <w:left w:val="single" w:color="auto" w:sz="4" w:space="0"/>
              <w:bottom w:val="single" w:color="auto" w:sz="4" w:space="0"/>
              <w:right w:val="single" w:color="auto" w:sz="4" w:space="0"/>
            </w:tcBorders>
            <w:shd w:val="clear" w:color="auto" w:fill="auto"/>
            <w:vAlign w:val="center"/>
          </w:tcPr>
          <w:p w14:paraId="5C901D63">
            <w:pPr>
              <w:jc w:val="center"/>
              <w:rPr>
                <w:rFonts w:cs="宋体" w:asciiTheme="minorEastAsia" w:hAnsiTheme="minorEastAsia"/>
                <w:color w:val="auto"/>
                <w:szCs w:val="21"/>
                <w:highlight w:val="none"/>
              </w:rPr>
            </w:pPr>
          </w:p>
        </w:tc>
        <w:tc>
          <w:tcPr>
            <w:tcW w:w="681" w:type="pct"/>
            <w:tcBorders>
              <w:top w:val="single" w:color="auto" w:sz="4" w:space="0"/>
              <w:left w:val="single" w:color="auto" w:sz="4" w:space="0"/>
              <w:bottom w:val="single" w:color="auto" w:sz="4" w:space="0"/>
              <w:right w:val="single" w:color="auto" w:sz="4" w:space="0"/>
            </w:tcBorders>
            <w:shd w:val="clear" w:color="auto" w:fill="auto"/>
            <w:vAlign w:val="center"/>
          </w:tcPr>
          <w:p w14:paraId="41BBB015">
            <w:pPr>
              <w:widowControl/>
              <w:jc w:val="center"/>
              <w:textAlignment w:val="center"/>
              <w:rPr>
                <w:rFonts w:cs="宋体" w:asciiTheme="minorEastAsia" w:hAnsiTheme="minorEastAsia"/>
                <w:color w:val="auto"/>
                <w:szCs w:val="21"/>
                <w:highlight w:val="none"/>
              </w:rPr>
            </w:pPr>
          </w:p>
        </w:tc>
        <w:tc>
          <w:tcPr>
            <w:tcW w:w="1697" w:type="pct"/>
            <w:tcBorders>
              <w:top w:val="single" w:color="auto" w:sz="4" w:space="0"/>
              <w:left w:val="single" w:color="auto" w:sz="4" w:space="0"/>
              <w:bottom w:val="single" w:color="auto" w:sz="4" w:space="0"/>
              <w:right w:val="single" w:color="auto" w:sz="4" w:space="0"/>
            </w:tcBorders>
            <w:shd w:val="clear" w:color="auto" w:fill="auto"/>
            <w:vAlign w:val="center"/>
          </w:tcPr>
          <w:p w14:paraId="351C80D4">
            <w:pPr>
              <w:jc w:val="center"/>
              <w:rPr>
                <w:rFonts w:cs="宋体" w:asciiTheme="minorEastAsia" w:hAnsiTheme="minorEastAsia"/>
                <w:b/>
                <w:bCs/>
                <w:color w:val="auto"/>
                <w:szCs w:val="21"/>
                <w:highlight w:val="none"/>
              </w:rPr>
            </w:pPr>
          </w:p>
        </w:tc>
      </w:tr>
    </w:tbl>
    <w:p w14:paraId="58CFA1CE">
      <w:pPr>
        <w:rPr>
          <w:color w:val="auto"/>
          <w:highlight w:val="none"/>
        </w:rPr>
      </w:pPr>
    </w:p>
    <w:p w14:paraId="557CDBCA">
      <w:pPr>
        <w:pStyle w:val="10"/>
        <w:spacing w:beforeAutospacing="0" w:afterAutospacing="0"/>
        <w:jc w:val="both"/>
        <w:rPr>
          <w:b/>
          <w:bCs/>
          <w:color w:val="auto"/>
          <w:highlight w:val="none"/>
        </w:rPr>
      </w:pPr>
      <w:r>
        <w:rPr>
          <w:b/>
          <w:bCs/>
          <w:color w:val="auto"/>
          <w:highlight w:val="none"/>
        </w:rPr>
        <w:t> </w:t>
      </w:r>
    </w:p>
    <w:p w14:paraId="736875B4">
      <w:pPr>
        <w:widowControl/>
        <w:ind w:firstLine="420"/>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 注：1、投标报价包括但不限于按要求完成招标范围内必须的投标报价，为供应商完成本项目发生的所有费用，包含但不限于人员工资、福利、管理费、利润、税费、合同履行期内人工工资上涨风险、政策性调整风险等一切费用及市场变化和政策性文件调整而引起的风险因素及可预见的所有费用。</w:t>
      </w:r>
    </w:p>
    <w:p w14:paraId="5C3CDF56">
      <w:pPr>
        <w:widowControl/>
        <w:ind w:firstLine="420"/>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2、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391D295D">
      <w:pPr>
        <w:pStyle w:val="10"/>
        <w:spacing w:beforeAutospacing="0" w:afterAutospacing="0"/>
        <w:jc w:val="both"/>
        <w:rPr>
          <w:color w:val="auto"/>
          <w:highlight w:val="none"/>
        </w:rPr>
      </w:pPr>
      <w:r>
        <w:rPr>
          <w:color w:val="auto"/>
          <w:highlight w:val="none"/>
        </w:rPr>
        <w:t> </w:t>
      </w:r>
    </w:p>
    <w:p w14:paraId="0EA8FECC">
      <w:pPr>
        <w:adjustRightInd w:val="0"/>
        <w:snapToGrid w:val="0"/>
        <w:ind w:firstLine="5239" w:firstLineChars="2495"/>
        <w:rPr>
          <w:color w:val="auto"/>
          <w:szCs w:val="21"/>
          <w:highlight w:val="none"/>
        </w:rPr>
      </w:pPr>
    </w:p>
    <w:p w14:paraId="714265B9">
      <w:pPr>
        <w:adjustRightInd w:val="0"/>
        <w:snapToGrid w:val="0"/>
        <w:ind w:firstLine="5239" w:firstLineChars="2495"/>
        <w:rPr>
          <w:color w:val="auto"/>
          <w:szCs w:val="21"/>
          <w:highlight w:val="none"/>
        </w:rPr>
      </w:pPr>
      <w:r>
        <w:rPr>
          <w:rFonts w:hint="eastAsia"/>
          <w:color w:val="auto"/>
          <w:szCs w:val="21"/>
          <w:highlight w:val="none"/>
        </w:rPr>
        <w:t>投标人全称（加盖CA电子签章）：</w:t>
      </w:r>
    </w:p>
    <w:p w14:paraId="368E8987">
      <w:pPr>
        <w:adjustRightInd w:val="0"/>
        <w:snapToGrid w:val="0"/>
        <w:ind w:firstLine="409" w:firstLineChars="195"/>
        <w:jc w:val="right"/>
        <w:rPr>
          <w:color w:val="auto"/>
          <w:szCs w:val="21"/>
          <w:highlight w:val="none"/>
        </w:rPr>
      </w:pPr>
    </w:p>
    <w:p w14:paraId="2544E836">
      <w:pPr>
        <w:adjustRightInd w:val="0"/>
        <w:snapToGrid w:val="0"/>
        <w:ind w:firstLine="409" w:firstLineChars="195"/>
        <w:jc w:val="right"/>
        <w:rPr>
          <w:color w:val="auto"/>
          <w:szCs w:val="21"/>
          <w:highlight w:val="none"/>
        </w:rPr>
      </w:pPr>
      <w:r>
        <w:rPr>
          <w:rFonts w:hint="eastAsia"/>
          <w:color w:val="auto"/>
          <w:szCs w:val="21"/>
          <w:highlight w:val="none"/>
        </w:rPr>
        <w:t>日期：   年    月   日</w:t>
      </w:r>
    </w:p>
    <w:p w14:paraId="59D87905">
      <w:pPr>
        <w:pStyle w:val="10"/>
        <w:spacing w:beforeAutospacing="0" w:afterAutospacing="0"/>
        <w:jc w:val="both"/>
        <w:rPr>
          <w:color w:val="auto"/>
          <w:highlight w:val="none"/>
        </w:rPr>
      </w:pPr>
    </w:p>
    <w:p w14:paraId="766DF30B">
      <w:pPr>
        <w:pStyle w:val="10"/>
        <w:spacing w:beforeAutospacing="0" w:afterAutospacing="0"/>
        <w:jc w:val="both"/>
        <w:rPr>
          <w:color w:val="auto"/>
          <w:highlight w:val="none"/>
        </w:rPr>
      </w:pPr>
      <w:r>
        <w:rPr>
          <w:color w:val="auto"/>
          <w:highlight w:val="none"/>
        </w:rPr>
        <w:t> </w:t>
      </w:r>
    </w:p>
    <w:p w14:paraId="0918A2FB">
      <w:pP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0E943B44">
      <w:pPr>
        <w:pStyle w:val="10"/>
        <w:spacing w:beforeAutospacing="0" w:afterAutospacing="0"/>
        <w:jc w:val="center"/>
        <w:rPr>
          <w:color w:val="auto"/>
          <w:highlight w:val="none"/>
        </w:rPr>
      </w:pPr>
      <w:r>
        <w:rPr>
          <w:rFonts w:hint="eastAsia" w:ascii="黑体" w:hAnsi="宋体" w:eastAsia="黑体" w:cs="黑体"/>
          <w:b/>
          <w:color w:val="auto"/>
          <w:sz w:val="32"/>
          <w:szCs w:val="32"/>
          <w:highlight w:val="none"/>
        </w:rPr>
        <w:t>十四、技术要求响应及偏离表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94F9462">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255A2">
            <w:pPr>
              <w:pStyle w:val="10"/>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A9A86">
            <w:pPr>
              <w:pStyle w:val="10"/>
              <w:spacing w:beforeAutospacing="0" w:afterAutospacing="0"/>
              <w:jc w:val="center"/>
              <w:rPr>
                <w:color w:val="auto"/>
                <w:highlight w:val="none"/>
              </w:rPr>
            </w:pPr>
            <w:r>
              <w:rPr>
                <w:rFonts w:hint="eastAsia" w:ascii="宋体" w:hAnsi="宋体" w:eastAsia="宋体" w:cs="宋体"/>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AB437">
            <w:pPr>
              <w:pStyle w:val="10"/>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0EBD">
            <w:pPr>
              <w:pStyle w:val="10"/>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F4941">
            <w:pPr>
              <w:pStyle w:val="10"/>
              <w:spacing w:beforeAutospacing="0" w:afterAutospacing="0"/>
              <w:jc w:val="center"/>
              <w:rPr>
                <w:color w:val="auto"/>
                <w:highlight w:val="none"/>
              </w:rPr>
            </w:pPr>
            <w:r>
              <w:rPr>
                <w:rFonts w:hint="eastAsia" w:ascii="宋体" w:hAnsi="宋体" w:eastAsia="宋体" w:cs="宋体"/>
                <w:color w:val="auto"/>
                <w:highlight w:val="none"/>
              </w:rPr>
              <w:t>证明</w:t>
            </w:r>
          </w:p>
          <w:p w14:paraId="3E1937F8">
            <w:pPr>
              <w:pStyle w:val="10"/>
              <w:spacing w:beforeAutospacing="0" w:afterAutospacing="0"/>
              <w:jc w:val="center"/>
              <w:rPr>
                <w:color w:val="auto"/>
                <w:highlight w:val="none"/>
              </w:rPr>
            </w:pPr>
            <w:r>
              <w:rPr>
                <w:rFonts w:hint="eastAsia" w:ascii="宋体" w:hAnsi="宋体" w:eastAsia="宋体" w:cs="宋体"/>
                <w:color w:val="auto"/>
                <w:highlight w:val="none"/>
              </w:rPr>
              <w:t>材料</w:t>
            </w:r>
          </w:p>
        </w:tc>
      </w:tr>
      <w:tr w14:paraId="7212D7A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A943">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92E5">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99D4">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F1F9">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5014">
            <w:pPr>
              <w:pStyle w:val="10"/>
              <w:spacing w:beforeAutospacing="0" w:afterAutospacing="0"/>
              <w:jc w:val="center"/>
              <w:rPr>
                <w:color w:val="auto"/>
                <w:highlight w:val="none"/>
              </w:rPr>
            </w:pPr>
            <w:r>
              <w:rPr>
                <w:color w:val="auto"/>
                <w:highlight w:val="none"/>
              </w:rPr>
              <w:t> </w:t>
            </w:r>
          </w:p>
        </w:tc>
      </w:tr>
      <w:tr w14:paraId="563D82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0802">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84EE1">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C404">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0E7DA">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342B">
            <w:pPr>
              <w:pStyle w:val="10"/>
              <w:spacing w:beforeAutospacing="0" w:afterAutospacing="0"/>
              <w:jc w:val="center"/>
              <w:rPr>
                <w:color w:val="auto"/>
                <w:highlight w:val="none"/>
              </w:rPr>
            </w:pPr>
            <w:r>
              <w:rPr>
                <w:color w:val="auto"/>
                <w:highlight w:val="none"/>
              </w:rPr>
              <w:t> </w:t>
            </w:r>
          </w:p>
        </w:tc>
      </w:tr>
      <w:tr w14:paraId="30BA86F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7A8B5">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08372">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876D">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BDE29">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5370">
            <w:pPr>
              <w:pStyle w:val="10"/>
              <w:spacing w:beforeAutospacing="0" w:afterAutospacing="0"/>
              <w:jc w:val="center"/>
              <w:rPr>
                <w:color w:val="auto"/>
                <w:highlight w:val="none"/>
              </w:rPr>
            </w:pPr>
            <w:r>
              <w:rPr>
                <w:color w:val="auto"/>
                <w:highlight w:val="none"/>
              </w:rPr>
              <w:t> </w:t>
            </w:r>
          </w:p>
        </w:tc>
      </w:tr>
      <w:tr w14:paraId="177EA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80B8A">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54948">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F9DE">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A5A20">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9C42">
            <w:pPr>
              <w:pStyle w:val="10"/>
              <w:spacing w:beforeAutospacing="0" w:afterAutospacing="0"/>
              <w:jc w:val="center"/>
              <w:rPr>
                <w:color w:val="auto"/>
                <w:highlight w:val="none"/>
              </w:rPr>
            </w:pPr>
            <w:r>
              <w:rPr>
                <w:color w:val="auto"/>
                <w:highlight w:val="none"/>
              </w:rPr>
              <w:t> </w:t>
            </w:r>
          </w:p>
        </w:tc>
      </w:tr>
      <w:tr w14:paraId="734AF36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190F">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96334">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990E">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BBBBF">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5BB7">
            <w:pPr>
              <w:pStyle w:val="10"/>
              <w:spacing w:beforeAutospacing="0" w:afterAutospacing="0"/>
              <w:jc w:val="center"/>
              <w:rPr>
                <w:color w:val="auto"/>
                <w:highlight w:val="none"/>
              </w:rPr>
            </w:pPr>
            <w:r>
              <w:rPr>
                <w:color w:val="auto"/>
                <w:highlight w:val="none"/>
              </w:rPr>
              <w:t> </w:t>
            </w:r>
          </w:p>
        </w:tc>
      </w:tr>
      <w:tr w14:paraId="346C6544">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B331">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F5F5">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A5506">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67BF1">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4749">
            <w:pPr>
              <w:pStyle w:val="10"/>
              <w:spacing w:beforeAutospacing="0" w:afterAutospacing="0"/>
              <w:jc w:val="center"/>
              <w:rPr>
                <w:color w:val="auto"/>
                <w:highlight w:val="none"/>
              </w:rPr>
            </w:pPr>
            <w:r>
              <w:rPr>
                <w:color w:val="auto"/>
                <w:highlight w:val="none"/>
              </w:rPr>
              <w:t> </w:t>
            </w:r>
          </w:p>
        </w:tc>
      </w:tr>
      <w:tr w14:paraId="521CA770">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10CF">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36CEB">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7465C">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DF82D">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59315">
            <w:pPr>
              <w:pStyle w:val="10"/>
              <w:spacing w:beforeAutospacing="0" w:afterAutospacing="0"/>
              <w:jc w:val="center"/>
              <w:rPr>
                <w:color w:val="auto"/>
                <w:highlight w:val="none"/>
              </w:rPr>
            </w:pPr>
            <w:r>
              <w:rPr>
                <w:color w:val="auto"/>
                <w:highlight w:val="none"/>
              </w:rPr>
              <w:t> </w:t>
            </w:r>
          </w:p>
        </w:tc>
      </w:tr>
      <w:tr w14:paraId="000786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1E36">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FBF21">
            <w:pPr>
              <w:pStyle w:val="10"/>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8F49">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FCA1">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675D9">
            <w:pPr>
              <w:pStyle w:val="10"/>
              <w:spacing w:beforeAutospacing="0" w:afterAutospacing="0"/>
              <w:jc w:val="center"/>
              <w:rPr>
                <w:color w:val="auto"/>
                <w:highlight w:val="none"/>
              </w:rPr>
            </w:pPr>
            <w:r>
              <w:rPr>
                <w:color w:val="auto"/>
                <w:highlight w:val="none"/>
              </w:rPr>
              <w:t> </w:t>
            </w:r>
          </w:p>
        </w:tc>
      </w:tr>
    </w:tbl>
    <w:p w14:paraId="4017D545">
      <w:pPr>
        <w:pStyle w:val="10"/>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1932B2C9">
      <w:pPr>
        <w:pStyle w:val="10"/>
        <w:spacing w:beforeAutospacing="0" w:afterAutospacing="0"/>
        <w:jc w:val="center"/>
        <w:rPr>
          <w:color w:val="auto"/>
          <w:highlight w:val="none"/>
        </w:rPr>
      </w:pPr>
      <w:r>
        <w:rPr>
          <w:color w:val="auto"/>
          <w:highlight w:val="none"/>
        </w:rPr>
        <w:t> </w:t>
      </w:r>
    </w:p>
    <w:p w14:paraId="728B1623">
      <w:pPr>
        <w:pStyle w:val="10"/>
        <w:spacing w:beforeAutospacing="0" w:afterAutospacing="0"/>
        <w:jc w:val="center"/>
        <w:rPr>
          <w:color w:val="auto"/>
          <w:highlight w:val="none"/>
        </w:rPr>
      </w:pPr>
      <w:r>
        <w:rPr>
          <w:color w:val="auto"/>
          <w:highlight w:val="none"/>
        </w:rPr>
        <w:t> </w:t>
      </w:r>
    </w:p>
    <w:p w14:paraId="39FFD35A">
      <w:pPr>
        <w:pStyle w:val="10"/>
        <w:spacing w:beforeAutospacing="0" w:afterAutospacing="0"/>
        <w:jc w:val="center"/>
        <w:rPr>
          <w:color w:val="auto"/>
          <w:highlight w:val="none"/>
        </w:rPr>
      </w:pPr>
      <w:r>
        <w:rPr>
          <w:color w:val="auto"/>
          <w:highlight w:val="none"/>
        </w:rPr>
        <w:t> </w:t>
      </w:r>
    </w:p>
    <w:p w14:paraId="195C3A87">
      <w:pPr>
        <w:pStyle w:val="10"/>
        <w:spacing w:beforeAutospacing="0" w:afterAutospacing="0"/>
        <w:jc w:val="center"/>
        <w:rPr>
          <w:color w:val="auto"/>
          <w:highlight w:val="none"/>
        </w:rPr>
      </w:pPr>
      <w:r>
        <w:rPr>
          <w:color w:val="auto"/>
          <w:highlight w:val="none"/>
        </w:rPr>
        <w:t> </w:t>
      </w:r>
    </w:p>
    <w:p w14:paraId="5A3F37A3">
      <w:pPr>
        <w:pStyle w:val="10"/>
        <w:spacing w:beforeAutospacing="0" w:afterAutospacing="0"/>
        <w:jc w:val="both"/>
        <w:rPr>
          <w:color w:val="auto"/>
          <w:highlight w:val="none"/>
        </w:rPr>
      </w:pPr>
      <w:r>
        <w:rPr>
          <w:color w:val="auto"/>
          <w:highlight w:val="none"/>
        </w:rPr>
        <w:t> </w:t>
      </w:r>
    </w:p>
    <w:p w14:paraId="07EF449B">
      <w:pPr>
        <w:pStyle w:val="10"/>
        <w:spacing w:beforeAutospacing="0" w:afterAutospacing="0"/>
        <w:jc w:val="both"/>
        <w:rPr>
          <w:color w:val="auto"/>
          <w:highlight w:val="none"/>
        </w:rPr>
      </w:pPr>
      <w:r>
        <w:rPr>
          <w:color w:val="auto"/>
          <w:highlight w:val="none"/>
        </w:rPr>
        <w:t> </w:t>
      </w:r>
    </w:p>
    <w:p w14:paraId="2D66A686">
      <w:pPr>
        <w:pStyle w:val="10"/>
        <w:spacing w:beforeAutospacing="0" w:afterAutospacing="0"/>
        <w:jc w:val="both"/>
        <w:rPr>
          <w:color w:val="auto"/>
          <w:highlight w:val="none"/>
        </w:rPr>
      </w:pPr>
      <w:r>
        <w:rPr>
          <w:color w:val="auto"/>
          <w:highlight w:val="none"/>
        </w:rPr>
        <w:t> </w:t>
      </w:r>
    </w:p>
    <w:p w14:paraId="32C4CA1E">
      <w:pPr>
        <w:pStyle w:val="10"/>
        <w:spacing w:beforeAutospacing="0" w:afterAutospacing="0"/>
        <w:jc w:val="both"/>
        <w:rPr>
          <w:color w:val="auto"/>
          <w:highlight w:val="none"/>
        </w:rPr>
      </w:pPr>
      <w:r>
        <w:rPr>
          <w:color w:val="auto"/>
          <w:highlight w:val="none"/>
        </w:rPr>
        <w:t> </w:t>
      </w:r>
    </w:p>
    <w:p w14:paraId="06EE8CBE">
      <w:pPr>
        <w:pStyle w:val="10"/>
        <w:spacing w:beforeAutospacing="0" w:afterAutospacing="0"/>
        <w:jc w:val="both"/>
        <w:rPr>
          <w:color w:val="auto"/>
          <w:highlight w:val="none"/>
        </w:rPr>
      </w:pPr>
      <w:r>
        <w:rPr>
          <w:color w:val="auto"/>
          <w:highlight w:val="none"/>
        </w:rPr>
        <w:t> </w:t>
      </w:r>
    </w:p>
    <w:p w14:paraId="64BB1926">
      <w:pPr>
        <w:pStyle w:val="10"/>
        <w:spacing w:beforeAutospacing="0" w:afterAutospacing="0"/>
        <w:jc w:val="both"/>
        <w:rPr>
          <w:color w:val="auto"/>
          <w:highlight w:val="none"/>
        </w:rPr>
      </w:pPr>
      <w:r>
        <w:rPr>
          <w:color w:val="auto"/>
          <w:highlight w:val="none"/>
        </w:rPr>
        <w:t> </w:t>
      </w:r>
    </w:p>
    <w:p w14:paraId="0BC400FA">
      <w:pPr>
        <w:pStyle w:val="10"/>
        <w:spacing w:beforeAutospacing="0" w:afterAutospacing="0"/>
        <w:jc w:val="both"/>
        <w:rPr>
          <w:color w:val="auto"/>
          <w:highlight w:val="none"/>
        </w:rPr>
      </w:pPr>
      <w:r>
        <w:rPr>
          <w:color w:val="auto"/>
          <w:highlight w:val="none"/>
        </w:rPr>
        <w:t> </w:t>
      </w:r>
    </w:p>
    <w:p w14:paraId="5819F4D6">
      <w:pPr>
        <w:pStyle w:val="10"/>
        <w:spacing w:beforeAutospacing="0" w:afterAutospacing="0"/>
        <w:jc w:val="both"/>
        <w:rPr>
          <w:color w:val="auto"/>
          <w:highlight w:val="none"/>
        </w:rPr>
      </w:pPr>
      <w:r>
        <w:rPr>
          <w:color w:val="auto"/>
          <w:highlight w:val="none"/>
        </w:rPr>
        <w:t> </w:t>
      </w:r>
    </w:p>
    <w:p w14:paraId="099C702B">
      <w:pPr>
        <w:rPr>
          <w:rFonts w:ascii="黑体" w:hAnsi="宋体" w:eastAsia="黑体" w:cs="黑体"/>
          <w:b/>
          <w:color w:val="auto"/>
          <w:sz w:val="32"/>
          <w:szCs w:val="32"/>
          <w:highlight w:val="none"/>
        </w:rPr>
      </w:pPr>
      <w:bookmarkStart w:id="176" w:name="_Hlt26955054"/>
      <w:r>
        <w:rPr>
          <w:rFonts w:hint="eastAsia" w:ascii="黑体" w:hAnsi="宋体" w:eastAsia="黑体" w:cs="黑体"/>
          <w:b/>
          <w:color w:val="auto"/>
          <w:sz w:val="32"/>
          <w:szCs w:val="32"/>
          <w:highlight w:val="none"/>
        </w:rPr>
        <w:br w:type="page"/>
      </w:r>
    </w:p>
    <w:p w14:paraId="68AF5E3B">
      <w:pPr>
        <w:pStyle w:val="10"/>
        <w:spacing w:beforeAutospacing="0" w:afterAutospacing="0"/>
        <w:jc w:val="center"/>
        <w:rPr>
          <w:color w:val="auto"/>
          <w:highlight w:val="none"/>
        </w:rPr>
      </w:pPr>
      <w:r>
        <w:rPr>
          <w:rFonts w:hint="eastAsia" w:ascii="黑体" w:hAnsi="宋体" w:eastAsia="黑体" w:cs="黑体"/>
          <w:b/>
          <w:color w:val="auto"/>
          <w:sz w:val="32"/>
          <w:szCs w:val="32"/>
          <w:highlight w:val="none"/>
        </w:rPr>
        <w:t>十五、商务要求响应及偏离表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8058AB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898E">
            <w:pPr>
              <w:pStyle w:val="10"/>
              <w:spacing w:beforeAutospacing="0" w:afterAutospacing="0"/>
              <w:jc w:val="center"/>
              <w:rPr>
                <w:color w:val="auto"/>
                <w:highlight w:val="none"/>
              </w:rPr>
            </w:pPr>
            <w:bookmarkStart w:id="177" w:name="_Hlt26955064"/>
            <w:bookmarkStart w:id="178" w:name="_Hlt26671343"/>
            <w:bookmarkStart w:id="179" w:name="_Hlt26955056"/>
            <w:bookmarkStart w:id="180" w:name="_Hlt26671372"/>
            <w:bookmarkStart w:id="181" w:name="_Hlt26782999"/>
            <w:bookmarkStart w:id="182" w:name="_Hlt26580838"/>
            <w:bookmarkStart w:id="183" w:name="_Hlt24879081"/>
            <w:bookmarkStart w:id="184" w:name="_Hlt26609391"/>
            <w:r>
              <w:rPr>
                <w:rFonts w:hint="eastAsia" w:ascii="宋体" w:hAnsi="宋体" w:eastAsia="宋体" w:cs="宋体"/>
                <w:color w:val="auto"/>
                <w:highlight w:val="none"/>
              </w:rPr>
              <w:t>序号</w:t>
            </w:r>
          </w:p>
          <w:bookmarkEnd w:id="177"/>
          <w:bookmarkEnd w:id="178"/>
          <w:bookmarkEnd w:id="179"/>
          <w:bookmarkEnd w:id="180"/>
          <w:bookmarkEnd w:id="181"/>
          <w:bookmarkEnd w:id="182"/>
          <w:bookmarkEnd w:id="183"/>
          <w:bookmarkEnd w:id="184"/>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CD9C">
            <w:pPr>
              <w:pStyle w:val="10"/>
              <w:spacing w:beforeAutospacing="0" w:afterAutospacing="0"/>
              <w:jc w:val="center"/>
              <w:rPr>
                <w:color w:val="auto"/>
                <w:highlight w:val="none"/>
              </w:rPr>
            </w:pPr>
            <w:r>
              <w:rPr>
                <w:rFonts w:hint="eastAsia" w:ascii="宋体" w:hAnsi="宋体" w:eastAsia="宋体" w:cs="宋体"/>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6FE1">
            <w:pPr>
              <w:pStyle w:val="10"/>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894B">
            <w:pPr>
              <w:pStyle w:val="10"/>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C910">
            <w:pPr>
              <w:pStyle w:val="10"/>
              <w:spacing w:beforeAutospacing="0" w:afterAutospacing="0"/>
              <w:jc w:val="center"/>
              <w:rPr>
                <w:color w:val="auto"/>
                <w:highlight w:val="none"/>
              </w:rPr>
            </w:pPr>
            <w:r>
              <w:rPr>
                <w:rFonts w:hint="eastAsia" w:ascii="宋体" w:hAnsi="宋体" w:eastAsia="宋体" w:cs="宋体"/>
                <w:color w:val="auto"/>
                <w:highlight w:val="none"/>
              </w:rPr>
              <w:t>证明</w:t>
            </w:r>
          </w:p>
          <w:p w14:paraId="66CF6DB2">
            <w:pPr>
              <w:pStyle w:val="10"/>
              <w:spacing w:beforeAutospacing="0" w:afterAutospacing="0"/>
              <w:jc w:val="center"/>
              <w:rPr>
                <w:color w:val="auto"/>
                <w:highlight w:val="none"/>
              </w:rPr>
            </w:pPr>
            <w:r>
              <w:rPr>
                <w:rFonts w:hint="eastAsia" w:ascii="宋体" w:hAnsi="宋体" w:eastAsia="宋体" w:cs="宋体"/>
                <w:color w:val="auto"/>
                <w:highlight w:val="none"/>
              </w:rPr>
              <w:t>材料</w:t>
            </w:r>
          </w:p>
        </w:tc>
      </w:tr>
      <w:tr w14:paraId="6E5E01B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F97B">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A9D1">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751F">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660A5">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9843">
            <w:pPr>
              <w:pStyle w:val="10"/>
              <w:spacing w:beforeAutospacing="0" w:afterAutospacing="0"/>
              <w:jc w:val="center"/>
              <w:rPr>
                <w:color w:val="auto"/>
                <w:highlight w:val="none"/>
              </w:rPr>
            </w:pPr>
            <w:r>
              <w:rPr>
                <w:color w:val="auto"/>
                <w:highlight w:val="none"/>
              </w:rPr>
              <w:t> </w:t>
            </w:r>
          </w:p>
        </w:tc>
      </w:tr>
      <w:tr w14:paraId="3155E0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17AC">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F53E">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3764">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AC1DF">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71C9">
            <w:pPr>
              <w:pStyle w:val="10"/>
              <w:spacing w:beforeAutospacing="0" w:afterAutospacing="0"/>
              <w:jc w:val="center"/>
              <w:rPr>
                <w:color w:val="auto"/>
                <w:highlight w:val="none"/>
              </w:rPr>
            </w:pPr>
            <w:r>
              <w:rPr>
                <w:color w:val="auto"/>
                <w:highlight w:val="none"/>
              </w:rPr>
              <w:t> </w:t>
            </w:r>
          </w:p>
        </w:tc>
      </w:tr>
      <w:tr w14:paraId="2AD2504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85D8A">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A69C">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2F39">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1291">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BDD5">
            <w:pPr>
              <w:pStyle w:val="10"/>
              <w:spacing w:beforeAutospacing="0" w:afterAutospacing="0"/>
              <w:jc w:val="center"/>
              <w:rPr>
                <w:color w:val="auto"/>
                <w:highlight w:val="none"/>
              </w:rPr>
            </w:pPr>
            <w:r>
              <w:rPr>
                <w:color w:val="auto"/>
                <w:highlight w:val="none"/>
              </w:rPr>
              <w:t> </w:t>
            </w:r>
          </w:p>
        </w:tc>
      </w:tr>
      <w:tr w14:paraId="2EF259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B757">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0B01">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57E5">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76B2">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8749">
            <w:pPr>
              <w:pStyle w:val="10"/>
              <w:spacing w:beforeAutospacing="0" w:afterAutospacing="0"/>
              <w:jc w:val="center"/>
              <w:rPr>
                <w:color w:val="auto"/>
                <w:highlight w:val="none"/>
              </w:rPr>
            </w:pPr>
            <w:r>
              <w:rPr>
                <w:color w:val="auto"/>
                <w:highlight w:val="none"/>
              </w:rPr>
              <w:t> </w:t>
            </w:r>
          </w:p>
        </w:tc>
      </w:tr>
      <w:tr w14:paraId="6AB2957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A5EAA">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F50E6">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F31F">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9B3E">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DB1F">
            <w:pPr>
              <w:pStyle w:val="10"/>
              <w:spacing w:beforeAutospacing="0" w:afterAutospacing="0"/>
              <w:jc w:val="center"/>
              <w:rPr>
                <w:color w:val="auto"/>
                <w:highlight w:val="none"/>
              </w:rPr>
            </w:pPr>
            <w:r>
              <w:rPr>
                <w:color w:val="auto"/>
                <w:highlight w:val="none"/>
              </w:rPr>
              <w:t> </w:t>
            </w:r>
          </w:p>
        </w:tc>
      </w:tr>
      <w:tr w14:paraId="1A4630F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C6C3">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EA79">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58EF">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98C6">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878BC">
            <w:pPr>
              <w:pStyle w:val="10"/>
              <w:spacing w:beforeAutospacing="0" w:afterAutospacing="0"/>
              <w:jc w:val="center"/>
              <w:rPr>
                <w:color w:val="auto"/>
                <w:highlight w:val="none"/>
              </w:rPr>
            </w:pPr>
            <w:r>
              <w:rPr>
                <w:color w:val="auto"/>
                <w:highlight w:val="none"/>
              </w:rPr>
              <w:t> </w:t>
            </w:r>
          </w:p>
        </w:tc>
      </w:tr>
      <w:tr w14:paraId="7BDF931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BA25">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7B45">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3959">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EB6B">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F07B">
            <w:pPr>
              <w:pStyle w:val="10"/>
              <w:spacing w:beforeAutospacing="0" w:afterAutospacing="0"/>
              <w:jc w:val="center"/>
              <w:rPr>
                <w:color w:val="auto"/>
                <w:highlight w:val="none"/>
              </w:rPr>
            </w:pPr>
            <w:r>
              <w:rPr>
                <w:color w:val="auto"/>
                <w:highlight w:val="none"/>
              </w:rPr>
              <w:t> </w:t>
            </w:r>
          </w:p>
        </w:tc>
      </w:tr>
      <w:tr w14:paraId="13228C3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5321">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9CC5">
            <w:pPr>
              <w:pStyle w:val="10"/>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7602">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C649">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33D5">
            <w:pPr>
              <w:pStyle w:val="10"/>
              <w:spacing w:beforeAutospacing="0" w:afterAutospacing="0"/>
              <w:jc w:val="center"/>
              <w:rPr>
                <w:color w:val="auto"/>
                <w:highlight w:val="none"/>
              </w:rPr>
            </w:pPr>
            <w:r>
              <w:rPr>
                <w:color w:val="auto"/>
                <w:highlight w:val="none"/>
              </w:rPr>
              <w:t> </w:t>
            </w:r>
          </w:p>
        </w:tc>
      </w:tr>
    </w:tbl>
    <w:p w14:paraId="728C6C08">
      <w:pPr>
        <w:pStyle w:val="10"/>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C26DAE2">
      <w:pPr>
        <w:pStyle w:val="10"/>
        <w:spacing w:beforeAutospacing="0" w:afterAutospacing="0" w:line="480" w:lineRule="auto"/>
        <w:jc w:val="both"/>
        <w:rPr>
          <w:color w:val="auto"/>
          <w:highlight w:val="none"/>
        </w:rPr>
      </w:pPr>
      <w:r>
        <w:rPr>
          <w:color w:val="auto"/>
          <w:highlight w:val="none"/>
        </w:rPr>
        <w:t> </w:t>
      </w:r>
    </w:p>
    <w:p w14:paraId="6622F06A">
      <w:pPr>
        <w:pStyle w:val="10"/>
        <w:spacing w:beforeAutospacing="0" w:afterAutospacing="0" w:line="480" w:lineRule="auto"/>
        <w:jc w:val="both"/>
        <w:rPr>
          <w:color w:val="auto"/>
          <w:highlight w:val="none"/>
        </w:rPr>
      </w:pPr>
      <w:r>
        <w:rPr>
          <w:color w:val="auto"/>
          <w:highlight w:val="none"/>
        </w:rPr>
        <w:t> </w:t>
      </w:r>
    </w:p>
    <w:p w14:paraId="0FE6B336">
      <w:pPr>
        <w:pStyle w:val="10"/>
        <w:spacing w:beforeAutospacing="0" w:afterAutospacing="0"/>
        <w:jc w:val="center"/>
        <w:rPr>
          <w:color w:val="auto"/>
          <w:highlight w:val="none"/>
        </w:rPr>
      </w:pPr>
      <w:bookmarkStart w:id="185" w:name="_Toc462564146"/>
      <w:bookmarkStart w:id="186" w:name="_Hlt26671374"/>
      <w:bookmarkStart w:id="187" w:name="_格式2__法定代表人授权书"/>
      <w:bookmarkStart w:id="188" w:name="_Hlt26609389"/>
      <w:bookmarkStart w:id="189" w:name="_Hlt26955066"/>
      <w:r>
        <w:rPr>
          <w:color w:val="auto"/>
          <w:highlight w:val="none"/>
        </w:rPr>
        <w:t> </w:t>
      </w:r>
    </w:p>
    <w:p w14:paraId="30C138E2">
      <w:pPr>
        <w:pStyle w:val="10"/>
        <w:spacing w:beforeAutospacing="0" w:afterAutospacing="0"/>
        <w:jc w:val="center"/>
        <w:rPr>
          <w:color w:val="auto"/>
          <w:highlight w:val="none"/>
        </w:rPr>
      </w:pPr>
      <w:r>
        <w:rPr>
          <w:color w:val="auto"/>
          <w:highlight w:val="none"/>
        </w:rPr>
        <w:t> </w:t>
      </w:r>
    </w:p>
    <w:p w14:paraId="083C0048">
      <w:pPr>
        <w:pStyle w:val="10"/>
        <w:spacing w:beforeAutospacing="0" w:afterAutospacing="0"/>
        <w:jc w:val="center"/>
        <w:rPr>
          <w:color w:val="auto"/>
          <w:highlight w:val="none"/>
        </w:rPr>
      </w:pPr>
    </w:p>
    <w:p w14:paraId="59AA6E78">
      <w:pPr>
        <w:pStyle w:val="10"/>
        <w:spacing w:beforeAutospacing="0" w:afterAutospacing="0"/>
        <w:jc w:val="center"/>
        <w:rPr>
          <w:color w:val="auto"/>
          <w:highlight w:val="none"/>
        </w:rPr>
      </w:pPr>
    </w:p>
    <w:p w14:paraId="234EC993">
      <w:pPr>
        <w:pStyle w:val="10"/>
        <w:spacing w:beforeAutospacing="0" w:afterAutospacing="0"/>
        <w:jc w:val="center"/>
        <w:rPr>
          <w:color w:val="auto"/>
          <w:highlight w:val="none"/>
        </w:rPr>
      </w:pPr>
    </w:p>
    <w:p w14:paraId="00FAB3FE">
      <w:pPr>
        <w:pStyle w:val="10"/>
        <w:spacing w:beforeAutospacing="0" w:afterAutospacing="0"/>
        <w:jc w:val="center"/>
        <w:rPr>
          <w:color w:val="auto"/>
          <w:highlight w:val="none"/>
        </w:rPr>
      </w:pPr>
    </w:p>
    <w:p w14:paraId="39877613">
      <w:pPr>
        <w:pStyle w:val="10"/>
        <w:spacing w:beforeAutospacing="0" w:afterAutospacing="0"/>
        <w:jc w:val="center"/>
        <w:rPr>
          <w:color w:val="auto"/>
          <w:highlight w:val="none"/>
        </w:rPr>
      </w:pPr>
      <w:r>
        <w:rPr>
          <w:color w:val="auto"/>
          <w:highlight w:val="none"/>
        </w:rPr>
        <w:t> </w:t>
      </w:r>
    </w:p>
    <w:p w14:paraId="6E0E7E6F">
      <w:pPr>
        <w:pStyle w:val="10"/>
        <w:spacing w:beforeAutospacing="0" w:afterAutospacing="0"/>
        <w:jc w:val="center"/>
        <w:rPr>
          <w:color w:val="auto"/>
          <w:highlight w:val="none"/>
        </w:rPr>
      </w:pPr>
      <w:r>
        <w:rPr>
          <w:color w:val="auto"/>
          <w:highlight w:val="none"/>
        </w:rPr>
        <w:t> </w:t>
      </w:r>
    </w:p>
    <w:p w14:paraId="451A428D">
      <w:pPr>
        <w:pStyle w:val="10"/>
        <w:spacing w:beforeAutospacing="0" w:afterAutospacing="0"/>
        <w:jc w:val="center"/>
        <w:rPr>
          <w:color w:val="auto"/>
          <w:highlight w:val="none"/>
        </w:rPr>
      </w:pPr>
      <w:r>
        <w:rPr>
          <w:color w:val="auto"/>
          <w:highlight w:val="none"/>
        </w:rPr>
        <w:t> </w:t>
      </w:r>
    </w:p>
    <w:p w14:paraId="4A42A598">
      <w:pPr>
        <w:pStyle w:val="10"/>
        <w:spacing w:beforeAutospacing="0" w:afterAutospacing="0"/>
        <w:jc w:val="center"/>
        <w:rPr>
          <w:color w:val="auto"/>
          <w:highlight w:val="none"/>
        </w:rPr>
      </w:pPr>
      <w:r>
        <w:rPr>
          <w:color w:val="auto"/>
          <w:highlight w:val="none"/>
        </w:rPr>
        <w:t> </w:t>
      </w:r>
    </w:p>
    <w:p w14:paraId="259F7DF5">
      <w:pPr>
        <w:pStyle w:val="10"/>
        <w:spacing w:beforeAutospacing="0" w:afterAutospacing="0"/>
        <w:jc w:val="center"/>
        <w:rPr>
          <w:color w:val="auto"/>
          <w:highlight w:val="none"/>
        </w:rPr>
      </w:pPr>
      <w:r>
        <w:rPr>
          <w:color w:val="auto"/>
          <w:highlight w:val="none"/>
        </w:rPr>
        <w:t> </w:t>
      </w:r>
    </w:p>
    <w:p w14:paraId="1726E451">
      <w:pPr>
        <w:pStyle w:val="10"/>
        <w:spacing w:beforeAutospacing="0" w:afterAutospacing="0"/>
        <w:jc w:val="both"/>
        <w:rPr>
          <w:color w:val="auto"/>
          <w:highlight w:val="none"/>
        </w:rPr>
      </w:pPr>
      <w:r>
        <w:rPr>
          <w:color w:val="auto"/>
          <w:highlight w:val="none"/>
        </w:rPr>
        <w:t> </w:t>
      </w:r>
    </w:p>
    <w:p w14:paraId="17665181">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2CA5A2B">
      <w:pPr>
        <w:pStyle w:val="10"/>
        <w:spacing w:beforeAutospacing="0" w:afterAutospacing="0"/>
        <w:jc w:val="both"/>
        <w:rPr>
          <w:color w:val="auto"/>
          <w:highlight w:val="none"/>
        </w:rPr>
      </w:pPr>
      <w:r>
        <w:rPr>
          <w:rFonts w:hint="eastAsia" w:ascii="黑体" w:hAnsi="宋体" w:eastAsia="黑体" w:cs="黑体"/>
          <w:b/>
          <w:i/>
          <w:color w:val="auto"/>
          <w:sz w:val="32"/>
          <w:szCs w:val="32"/>
          <w:highlight w:val="none"/>
          <w:u w:val="single"/>
        </w:rPr>
        <w:t>十六、开标一览表</w:t>
      </w:r>
    </w:p>
    <w:p w14:paraId="49AD4A11">
      <w:pPr>
        <w:pStyle w:val="10"/>
        <w:widowControl/>
        <w:rPr>
          <w:color w:val="auto"/>
          <w:highlight w:val="none"/>
        </w:rPr>
      </w:pPr>
      <w:r>
        <w:rPr>
          <w:color w:val="auto"/>
          <w:highlight w:val="none"/>
        </w:rPr>
        <w:t>项目编号：项目编号 </w:t>
      </w:r>
    </w:p>
    <w:p w14:paraId="7DB50918">
      <w:pPr>
        <w:pStyle w:val="10"/>
        <w:widowControl/>
        <w:rPr>
          <w:color w:val="auto"/>
          <w:highlight w:val="none"/>
        </w:rPr>
      </w:pPr>
      <w:r>
        <w:rPr>
          <w:color w:val="auto"/>
          <w:highlight w:val="none"/>
        </w:rPr>
        <w:t>货币单位：人民币元</w:t>
      </w:r>
    </w:p>
    <w:tbl>
      <w:tblPr>
        <w:tblStyle w:val="12"/>
        <w:tblW w:w="9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5"/>
        <w:gridCol w:w="3227"/>
        <w:gridCol w:w="3227"/>
      </w:tblGrid>
      <w:tr w14:paraId="0AEA0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3225" w:type="dxa"/>
          </w:tcPr>
          <w:p w14:paraId="12D4AFD4">
            <w:pPr>
              <w:pStyle w:val="10"/>
              <w:widowControl/>
              <w:spacing w:beforeAutospacing="0" w:afterAutospacing="0"/>
              <w:jc w:val="both"/>
              <w:rPr>
                <w:color w:val="auto"/>
                <w:highlight w:val="none"/>
              </w:rPr>
            </w:pPr>
            <w:r>
              <w:rPr>
                <w:color w:val="auto"/>
                <w:highlight w:val="none"/>
              </w:rPr>
              <w:t>项目名称</w:t>
            </w:r>
          </w:p>
        </w:tc>
        <w:tc>
          <w:tcPr>
            <w:tcW w:w="3227" w:type="dxa"/>
          </w:tcPr>
          <w:p w14:paraId="5B008F6F">
            <w:pPr>
              <w:pStyle w:val="10"/>
              <w:widowControl/>
              <w:spacing w:beforeAutospacing="0" w:afterAutospacing="0"/>
              <w:jc w:val="both"/>
              <w:rPr>
                <w:color w:val="auto"/>
                <w:highlight w:val="none"/>
              </w:rPr>
            </w:pPr>
            <w:r>
              <w:rPr>
                <w:rFonts w:ascii="宋体" w:hAnsi="宋体" w:eastAsia="宋体" w:cs="宋体"/>
                <w:color w:val="auto"/>
                <w:highlight w:val="none"/>
              </w:rPr>
              <w:t>项目内容</w:t>
            </w:r>
          </w:p>
        </w:tc>
        <w:tc>
          <w:tcPr>
            <w:tcW w:w="3227" w:type="dxa"/>
          </w:tcPr>
          <w:p w14:paraId="69E82F61">
            <w:pPr>
              <w:pStyle w:val="10"/>
              <w:widowControl/>
              <w:spacing w:beforeAutospacing="0" w:afterAutospacing="0"/>
              <w:jc w:val="both"/>
              <w:rPr>
                <w:color w:val="auto"/>
                <w:highlight w:val="none"/>
              </w:rPr>
            </w:pPr>
            <w:r>
              <w:rPr>
                <w:rFonts w:ascii="宋体" w:hAnsi="宋体" w:eastAsia="宋体" w:cs="宋体"/>
                <w:color w:val="auto"/>
                <w:highlight w:val="none"/>
              </w:rPr>
              <w:t>总价（小写）</w:t>
            </w:r>
          </w:p>
        </w:tc>
      </w:tr>
      <w:tr w14:paraId="4B1D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8" w:hRule="atLeast"/>
        </w:trPr>
        <w:tc>
          <w:tcPr>
            <w:tcW w:w="3225" w:type="dxa"/>
          </w:tcPr>
          <w:p w14:paraId="283060BB">
            <w:pPr>
              <w:widowControl/>
              <w:jc w:val="left"/>
              <w:rPr>
                <w:color w:val="auto"/>
                <w:highlight w:val="none"/>
              </w:rPr>
            </w:pPr>
            <w:r>
              <w:rPr>
                <w:rFonts w:ascii="宋体" w:hAnsi="宋体" w:eastAsia="宋体" w:cs="宋体"/>
                <w:color w:val="auto"/>
                <w:kern w:val="0"/>
                <w:sz w:val="24"/>
                <w:highlight w:val="none"/>
                <w:lang w:bidi="ar"/>
              </w:rPr>
              <w:t xml:space="preserve">项目名称  </w:t>
            </w:r>
          </w:p>
        </w:tc>
        <w:tc>
          <w:tcPr>
            <w:tcW w:w="3227" w:type="dxa"/>
          </w:tcPr>
          <w:p w14:paraId="0AFF0980">
            <w:pPr>
              <w:widowControl/>
              <w:jc w:val="left"/>
              <w:rPr>
                <w:color w:val="auto"/>
                <w:highlight w:val="none"/>
              </w:rPr>
            </w:pPr>
            <w:r>
              <w:rPr>
                <w:rFonts w:ascii="宋体" w:hAnsi="宋体" w:eastAsia="宋体" w:cs="宋体"/>
                <w:color w:val="auto"/>
                <w:sz w:val="24"/>
                <w:highlight w:val="none"/>
              </w:rPr>
              <w:t>详见投标文件</w:t>
            </w:r>
          </w:p>
        </w:tc>
        <w:tc>
          <w:tcPr>
            <w:tcW w:w="3227" w:type="dxa"/>
            <w:vAlign w:val="center"/>
          </w:tcPr>
          <w:p w14:paraId="3BA66268">
            <w:pPr>
              <w:widowControl/>
              <w:ind w:firstLine="720" w:firstLineChars="300"/>
              <w:jc w:val="center"/>
              <w:rPr>
                <w:rFonts w:ascii="宋体" w:hAnsi="宋体" w:eastAsia="宋体" w:cs="宋体"/>
                <w:color w:val="auto"/>
                <w:kern w:val="0"/>
                <w:sz w:val="24"/>
                <w:highlight w:val="none"/>
                <w:lang w:bidi="a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5"/>
            </w:tblGrid>
            <w:tr w14:paraId="5790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5" w:type="dxa"/>
                  <w:vAlign w:val="center"/>
                </w:tcPr>
                <w:p w14:paraId="2936B23B">
                  <w:pPr>
                    <w:widowControl/>
                    <w:jc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 </w:t>
                  </w:r>
                  <w:r>
                    <w:rPr>
                      <w:rFonts w:ascii="宋体" w:hAnsi="宋体" w:eastAsia="宋体" w:cs="宋体"/>
                      <w:color w:val="auto"/>
                      <w:kern w:val="0"/>
                      <w:sz w:val="24"/>
                      <w:highlight w:val="none"/>
                      <w:lang w:bidi="ar"/>
                    </w:rPr>
                    <w:t xml:space="preserve">    </w:t>
                  </w:r>
                </w:p>
              </w:tc>
            </w:tr>
          </w:tbl>
          <w:p w14:paraId="3A57F440">
            <w:pPr>
              <w:widowControl/>
              <w:rPr>
                <w:color w:val="auto"/>
                <w:highlight w:val="none"/>
              </w:rPr>
            </w:pPr>
            <w:r>
              <w:rPr>
                <w:rFonts w:hint="eastAsia" w:ascii="宋体" w:hAnsi="宋体" w:eastAsia="宋体" w:cs="宋体"/>
                <w:color w:val="auto"/>
                <w:kern w:val="0"/>
                <w:sz w:val="24"/>
                <w:highlight w:val="none"/>
                <w:lang w:bidi="ar"/>
              </w:rPr>
              <w:t>元</w:t>
            </w:r>
          </w:p>
        </w:tc>
      </w:tr>
      <w:tr w14:paraId="57A68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225" w:type="dxa"/>
          </w:tcPr>
          <w:p w14:paraId="172447CA">
            <w:pPr>
              <w:pStyle w:val="10"/>
              <w:spacing w:beforeAutospacing="0" w:afterAutospacing="0"/>
              <w:jc w:val="both"/>
              <w:rPr>
                <w:color w:val="auto"/>
                <w:highlight w:val="none"/>
              </w:rPr>
            </w:pPr>
            <w:r>
              <w:rPr>
                <w:rFonts w:ascii="宋体" w:hAnsi="宋体" w:eastAsia="宋体" w:cs="宋体"/>
                <w:color w:val="auto"/>
                <w:highlight w:val="none"/>
              </w:rPr>
              <w:t>总价（大写）：</w:t>
            </w:r>
          </w:p>
        </w:tc>
        <w:tc>
          <w:tcPr>
            <w:tcW w:w="6454" w:type="dxa"/>
            <w:gridSpan w:val="2"/>
          </w:tcPr>
          <w:p w14:paraId="24684601">
            <w:pPr>
              <w:pStyle w:val="10"/>
              <w:spacing w:beforeAutospacing="0" w:afterAutospacing="0"/>
              <w:jc w:val="both"/>
              <w:rPr>
                <w:color w:val="auto"/>
                <w:highlight w:val="none"/>
              </w:rPr>
            </w:pPr>
            <w:r>
              <w:rPr>
                <w:rFonts w:ascii="宋体" w:hAnsi="宋体" w:eastAsia="宋体" w:cs="宋体"/>
                <w:color w:val="auto"/>
                <w:highlight w:val="none"/>
              </w:rPr>
              <w:t>金额大写 </w:t>
            </w:r>
          </w:p>
        </w:tc>
      </w:tr>
    </w:tbl>
    <w:p w14:paraId="4D16446B">
      <w:pPr>
        <w:pStyle w:val="10"/>
        <w:spacing w:beforeAutospacing="0" w:afterAutospacing="0"/>
        <w:jc w:val="both"/>
        <w:rPr>
          <w:color w:val="auto"/>
          <w:highlight w:val="none"/>
        </w:rPr>
      </w:pPr>
      <w:r>
        <w:rPr>
          <w:color w:val="auto"/>
          <w:highlight w:val="none"/>
        </w:rPr>
        <w:t> </w:t>
      </w:r>
    </w:p>
    <w:p w14:paraId="0700FA78">
      <w:pPr>
        <w:pStyle w:val="10"/>
        <w:spacing w:beforeAutospacing="0" w:afterAutospacing="0"/>
        <w:rPr>
          <w:color w:val="auto"/>
          <w:highlight w:val="none"/>
        </w:rPr>
      </w:pPr>
    </w:p>
    <w:p w14:paraId="17E9328D">
      <w:pPr>
        <w:pStyle w:val="10"/>
        <w:spacing w:beforeAutospacing="0" w:afterAutospacing="0"/>
        <w:rPr>
          <w:color w:val="auto"/>
          <w:highlight w:val="none"/>
        </w:rPr>
      </w:pPr>
    </w:p>
    <w:p w14:paraId="2E187EF8">
      <w:pPr>
        <w:pStyle w:val="10"/>
        <w:spacing w:beforeAutospacing="0" w:afterAutospacing="0"/>
        <w:rPr>
          <w:color w:val="auto"/>
          <w:highlight w:val="none"/>
        </w:rPr>
      </w:pPr>
      <w:r>
        <w:rPr>
          <w:color w:val="auto"/>
          <w:highlight w:val="none"/>
        </w:rPr>
        <w:t>投标人公章： （电子签章）</w:t>
      </w:r>
      <w:r>
        <w:rPr>
          <w:rFonts w:hint="eastAsia"/>
          <w:color w:val="auto"/>
          <w:highlight w:val="none"/>
        </w:rPr>
        <w:t> </w:t>
      </w:r>
    </w:p>
    <w:p w14:paraId="4009E2D8">
      <w:pPr>
        <w:pStyle w:val="10"/>
        <w:spacing w:beforeAutospacing="0" w:afterAutospacing="0"/>
        <w:rPr>
          <w:rFonts w:ascii="宋体" w:hAnsi="宋体" w:eastAsia="宋体" w:cs="宋体"/>
          <w:color w:val="auto"/>
          <w:highlight w:val="none"/>
        </w:rPr>
      </w:pPr>
    </w:p>
    <w:p w14:paraId="6C5101B7">
      <w:pPr>
        <w:pStyle w:val="10"/>
        <w:spacing w:beforeAutospacing="0" w:afterAutospacing="0"/>
        <w:rPr>
          <w:rFonts w:ascii="宋体" w:hAnsi="宋体" w:eastAsia="宋体" w:cs="宋体"/>
          <w:color w:val="auto"/>
          <w:highlight w:val="none"/>
        </w:rPr>
      </w:pPr>
    </w:p>
    <w:p w14:paraId="29994D39">
      <w:pPr>
        <w:pStyle w:val="10"/>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9D1AF51">
      <w:pPr>
        <w:widowControl/>
        <w:spacing w:before="50" w:after="50"/>
        <w:jc w:val="center"/>
        <w:rPr>
          <w:color w:val="auto"/>
          <w:highlight w:val="none"/>
        </w:rPr>
      </w:pPr>
      <w:r>
        <w:rPr>
          <w:color w:val="auto"/>
          <w:highlight w:val="none"/>
        </w:rPr>
        <w:tab/>
      </w:r>
    </w:p>
    <w:p w14:paraId="32A3A5EB">
      <w:pPr>
        <w:widowControl/>
        <w:spacing w:before="50" w:after="50"/>
        <w:jc w:val="center"/>
        <w:rPr>
          <w:rFonts w:ascii="黑体" w:hAnsi="宋体" w:eastAsia="黑体" w:cs="黑体"/>
          <w:b/>
          <w:color w:val="auto"/>
          <w:kern w:val="0"/>
          <w:sz w:val="32"/>
          <w:szCs w:val="32"/>
          <w:highlight w:val="none"/>
        </w:rPr>
      </w:pPr>
    </w:p>
    <w:p w14:paraId="4AC3261F">
      <w:pPr>
        <w:widowControl/>
        <w:spacing w:before="50" w:after="50"/>
        <w:jc w:val="center"/>
        <w:rPr>
          <w:rFonts w:ascii="黑体" w:hAnsi="宋体" w:eastAsia="黑体" w:cs="黑体"/>
          <w:b/>
          <w:color w:val="auto"/>
          <w:kern w:val="0"/>
          <w:sz w:val="32"/>
          <w:szCs w:val="32"/>
          <w:highlight w:val="none"/>
        </w:rPr>
      </w:pPr>
    </w:p>
    <w:p w14:paraId="14A0DF17">
      <w:pPr>
        <w:widowControl/>
        <w:spacing w:before="50" w:after="50"/>
        <w:jc w:val="center"/>
        <w:rPr>
          <w:rFonts w:ascii="黑体" w:hAnsi="宋体" w:eastAsia="黑体" w:cs="黑体"/>
          <w:b/>
          <w:color w:val="auto"/>
          <w:kern w:val="0"/>
          <w:sz w:val="32"/>
          <w:szCs w:val="32"/>
          <w:highlight w:val="none"/>
        </w:rPr>
      </w:pPr>
    </w:p>
    <w:p w14:paraId="378DBF7B">
      <w:pPr>
        <w:widowControl/>
        <w:jc w:val="left"/>
        <w:rPr>
          <w:rFonts w:ascii="黑体" w:hAnsi="宋体" w:eastAsia="黑体" w:cs="黑体"/>
          <w:b/>
          <w:color w:val="auto"/>
          <w:kern w:val="0"/>
          <w:sz w:val="32"/>
          <w:szCs w:val="32"/>
          <w:highlight w:val="none"/>
        </w:rPr>
      </w:pPr>
      <w:r>
        <w:rPr>
          <w:rFonts w:ascii="黑体" w:hAnsi="宋体" w:eastAsia="黑体" w:cs="黑体"/>
          <w:b/>
          <w:color w:val="auto"/>
          <w:kern w:val="0"/>
          <w:sz w:val="32"/>
          <w:szCs w:val="32"/>
          <w:highlight w:val="none"/>
        </w:rPr>
        <w:br w:type="page"/>
      </w:r>
    </w:p>
    <w:p w14:paraId="646D1662">
      <w:pPr>
        <w:widowControl/>
        <w:spacing w:before="50" w:after="50"/>
        <w:jc w:val="center"/>
        <w:rPr>
          <w:rFonts w:ascii="黑体" w:hAnsi="宋体" w:eastAsia="黑体" w:cs="黑体"/>
          <w:b/>
          <w:color w:val="auto"/>
          <w:kern w:val="0"/>
          <w:sz w:val="32"/>
          <w:szCs w:val="32"/>
          <w:highlight w:val="none"/>
        </w:rPr>
      </w:pPr>
      <w:r>
        <w:rPr>
          <w:rFonts w:hint="eastAsia" w:ascii="黑体" w:hAnsi="宋体" w:eastAsia="黑体" w:cs="黑体"/>
          <w:b/>
          <w:color w:val="auto"/>
          <w:kern w:val="0"/>
          <w:sz w:val="32"/>
          <w:szCs w:val="32"/>
          <w:highlight w:val="none"/>
        </w:rPr>
        <w:t>十七、技术方案、服务承诺、培训承诺等</w:t>
      </w:r>
    </w:p>
    <w:p w14:paraId="28D9935E">
      <w:pPr>
        <w:pStyle w:val="10"/>
        <w:tabs>
          <w:tab w:val="left" w:pos="2160"/>
        </w:tabs>
        <w:spacing w:beforeAutospacing="0" w:afterAutospacing="0"/>
        <w:jc w:val="both"/>
        <w:rPr>
          <w:color w:val="auto"/>
          <w:highlight w:val="none"/>
        </w:rPr>
      </w:pPr>
    </w:p>
    <w:p w14:paraId="2613D013">
      <w:pPr>
        <w:widowControl/>
        <w:spacing w:before="50" w:after="50"/>
        <w:jc w:val="center"/>
        <w:rPr>
          <w:rFonts w:ascii="黑体" w:hAnsi="宋体" w:eastAsia="黑体" w:cs="黑体"/>
          <w:b/>
          <w:color w:val="auto"/>
          <w:kern w:val="0"/>
          <w:sz w:val="32"/>
          <w:szCs w:val="32"/>
          <w:highlight w:val="none"/>
        </w:rPr>
      </w:pPr>
      <w:r>
        <w:rPr>
          <w:rFonts w:hint="eastAsia" w:ascii="黑体" w:hAnsi="宋体" w:eastAsia="黑体" w:cs="黑体"/>
          <w:b/>
          <w:color w:val="auto"/>
          <w:kern w:val="0"/>
          <w:sz w:val="32"/>
          <w:szCs w:val="32"/>
          <w:highlight w:val="none"/>
        </w:rPr>
        <w:t>十八、盐城市政府采购事前信用承诺书</w:t>
      </w:r>
    </w:p>
    <w:p w14:paraId="3D56904B">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1A73DC38">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5D78B5D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E36E09B">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03FA5BF">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6A437CFB">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（四）严格遵守即时信息公示规定，及时维护和更新盐城市政府采购网中与本单位相关的信息；</w:t>
      </w:r>
    </w:p>
    <w:p w14:paraId="75BF028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1C3CDD4">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3389B576">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6F9181E">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66F3779A">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204A50F5">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69E80341">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22DA320C">
      <w:pPr>
        <w:pStyle w:val="10"/>
        <w:spacing w:beforeAutospacing="0" w:afterAutospacing="0"/>
        <w:jc w:val="center"/>
        <w:rPr>
          <w:color w:val="auto"/>
          <w:highlight w:val="none"/>
        </w:rPr>
      </w:pPr>
    </w:p>
    <w:p w14:paraId="7A39BF98">
      <w:pPr>
        <w:pStyle w:val="10"/>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386628B6">
      <w:pPr>
        <w:pStyle w:val="10"/>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31CCB093">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B27368C">
      <w:pPr>
        <w:pStyle w:val="1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1A3DD351">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8DFFD04">
      <w:pPr>
        <w:pStyle w:val="1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B68A9BB">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B52E9FC">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5C6DE67">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845BA02">
      <w:pPr>
        <w:pStyle w:val="1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B924261">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5A2FDD54">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726433BD">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9AE9929">
      <w:pPr>
        <w:pStyle w:val="1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03E41B08">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5468CFE">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DCED034">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磋商文件获取日期：</w:t>
      </w:r>
      <w:r>
        <w:rPr>
          <w:rFonts w:hint="eastAsia" w:ascii="宋体" w:hAnsi="宋体" w:eastAsia="宋体" w:cs="宋体"/>
          <w:color w:val="auto"/>
          <w:highlight w:val="none"/>
          <w:u w:val="single"/>
        </w:rPr>
        <w:t xml:space="preserve">                             </w:t>
      </w:r>
    </w:p>
    <w:p w14:paraId="3D1EFEF0">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46043221">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2BEA6041">
      <w:pPr>
        <w:pStyle w:val="1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2C720598">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33F79D14">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20671B2B">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2EE896A2">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3D34869A">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4C2A48DF">
      <w:pPr>
        <w:pStyle w:val="10"/>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337B948A">
      <w:pPr>
        <w:pStyle w:val="10"/>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1F9F995A">
      <w:pPr>
        <w:pStyle w:val="1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A90D8D0">
      <w:pPr>
        <w:pStyle w:val="1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D426DE7">
      <w:pPr>
        <w:pStyle w:val="1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99B444D">
      <w:pPr>
        <w:pStyle w:val="1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2686FE79">
      <w:pPr>
        <w:pStyle w:val="1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0029B73">
      <w:pPr>
        <w:rPr>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 </w:t>
      </w:r>
      <w:bookmarkEnd w:id="8"/>
      <w:bookmarkEnd w:id="42"/>
      <w:bookmarkEnd w:id="89"/>
      <w:bookmarkEnd w:id="90"/>
      <w:bookmarkEnd w:id="91"/>
      <w:bookmarkEnd w:id="92"/>
      <w:bookmarkEnd w:id="93"/>
      <w:bookmarkEnd w:id="94"/>
      <w:bookmarkEnd w:id="95"/>
      <w:bookmarkEnd w:id="96"/>
      <w:bookmarkEnd w:id="105"/>
      <w:bookmarkEnd w:id="106"/>
      <w:bookmarkEnd w:id="113"/>
      <w:bookmarkEnd w:id="162"/>
      <w:bookmarkEnd w:id="163"/>
      <w:bookmarkEnd w:id="169"/>
      <w:bookmarkEnd w:id="170"/>
      <w:bookmarkEnd w:id="171"/>
      <w:bookmarkEnd w:id="172"/>
      <w:bookmarkEnd w:id="173"/>
      <w:bookmarkEnd w:id="174"/>
      <w:bookmarkEnd w:id="175"/>
      <w:bookmarkEnd w:id="176"/>
      <w:bookmarkEnd w:id="185"/>
      <w:bookmarkEnd w:id="186"/>
      <w:bookmarkEnd w:id="187"/>
      <w:bookmarkEnd w:id="188"/>
      <w:bookmarkEnd w:id="189"/>
    </w:p>
    <w:sectPr>
      <w:pgSz w:w="11906" w:h="16838"/>
      <w:pgMar w:top="1440" w:right="1451" w:bottom="1440" w:left="145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魏碑_GBK">
    <w:altName w:val="宋体"/>
    <w:panose1 w:val="00000000000000000000"/>
    <w:charset w:val="86"/>
    <w:family w:val="script"/>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0526B"/>
    <w:rsid w:val="000D1236"/>
    <w:rsid w:val="001157CE"/>
    <w:rsid w:val="00137369"/>
    <w:rsid w:val="00172A27"/>
    <w:rsid w:val="001B0A39"/>
    <w:rsid w:val="001D3737"/>
    <w:rsid w:val="001E339B"/>
    <w:rsid w:val="001F4DB3"/>
    <w:rsid w:val="0021548B"/>
    <w:rsid w:val="00243914"/>
    <w:rsid w:val="00247343"/>
    <w:rsid w:val="002537B8"/>
    <w:rsid w:val="002652C7"/>
    <w:rsid w:val="004529E6"/>
    <w:rsid w:val="004773CB"/>
    <w:rsid w:val="004E30FC"/>
    <w:rsid w:val="00505279"/>
    <w:rsid w:val="00574956"/>
    <w:rsid w:val="0057550E"/>
    <w:rsid w:val="005A6106"/>
    <w:rsid w:val="005C451E"/>
    <w:rsid w:val="005D0090"/>
    <w:rsid w:val="005E27FF"/>
    <w:rsid w:val="006A7CB5"/>
    <w:rsid w:val="006C3327"/>
    <w:rsid w:val="007255D8"/>
    <w:rsid w:val="007661BB"/>
    <w:rsid w:val="00772667"/>
    <w:rsid w:val="008731E3"/>
    <w:rsid w:val="00895AD0"/>
    <w:rsid w:val="0092109E"/>
    <w:rsid w:val="00953741"/>
    <w:rsid w:val="00960F8F"/>
    <w:rsid w:val="00994BFC"/>
    <w:rsid w:val="00A103BF"/>
    <w:rsid w:val="00A840E7"/>
    <w:rsid w:val="00AD22C6"/>
    <w:rsid w:val="00AE219B"/>
    <w:rsid w:val="00B52F9C"/>
    <w:rsid w:val="00B62979"/>
    <w:rsid w:val="00BA17CD"/>
    <w:rsid w:val="00C35B8D"/>
    <w:rsid w:val="00C577B1"/>
    <w:rsid w:val="00C751D7"/>
    <w:rsid w:val="00C85A62"/>
    <w:rsid w:val="00D04E7E"/>
    <w:rsid w:val="00D33C33"/>
    <w:rsid w:val="00D550E3"/>
    <w:rsid w:val="00DA5DBE"/>
    <w:rsid w:val="00DF4303"/>
    <w:rsid w:val="00E27CDE"/>
    <w:rsid w:val="00E551A0"/>
    <w:rsid w:val="00EB03C2"/>
    <w:rsid w:val="00EB1C0E"/>
    <w:rsid w:val="00F004F0"/>
    <w:rsid w:val="00F346EB"/>
    <w:rsid w:val="00F63BA2"/>
    <w:rsid w:val="00F71987"/>
    <w:rsid w:val="00FD0513"/>
    <w:rsid w:val="00FD2A7E"/>
    <w:rsid w:val="00FE5DE6"/>
    <w:rsid w:val="014036E0"/>
    <w:rsid w:val="015C3D17"/>
    <w:rsid w:val="018C33F1"/>
    <w:rsid w:val="01AA53CD"/>
    <w:rsid w:val="01AC62C4"/>
    <w:rsid w:val="023A2E4D"/>
    <w:rsid w:val="02714395"/>
    <w:rsid w:val="027817E3"/>
    <w:rsid w:val="02851591"/>
    <w:rsid w:val="02BD5381"/>
    <w:rsid w:val="02CE17E8"/>
    <w:rsid w:val="02D505AD"/>
    <w:rsid w:val="02EF2C78"/>
    <w:rsid w:val="034A325D"/>
    <w:rsid w:val="034E4AD1"/>
    <w:rsid w:val="037E0789"/>
    <w:rsid w:val="03A964DC"/>
    <w:rsid w:val="03CD7E04"/>
    <w:rsid w:val="04241DDC"/>
    <w:rsid w:val="04335DA6"/>
    <w:rsid w:val="047C2E20"/>
    <w:rsid w:val="04846602"/>
    <w:rsid w:val="04926F71"/>
    <w:rsid w:val="04934A97"/>
    <w:rsid w:val="049820AD"/>
    <w:rsid w:val="04A96068"/>
    <w:rsid w:val="04CF1FA6"/>
    <w:rsid w:val="05187CD7"/>
    <w:rsid w:val="051F632A"/>
    <w:rsid w:val="056E5657"/>
    <w:rsid w:val="05AC43F4"/>
    <w:rsid w:val="06163BD1"/>
    <w:rsid w:val="062C42CE"/>
    <w:rsid w:val="068A6E34"/>
    <w:rsid w:val="06B259C3"/>
    <w:rsid w:val="075410AD"/>
    <w:rsid w:val="0764271A"/>
    <w:rsid w:val="07670DE9"/>
    <w:rsid w:val="07994E3B"/>
    <w:rsid w:val="07A02A3F"/>
    <w:rsid w:val="07A2101C"/>
    <w:rsid w:val="07A40F48"/>
    <w:rsid w:val="07E0789C"/>
    <w:rsid w:val="07EB1CF4"/>
    <w:rsid w:val="080F08D8"/>
    <w:rsid w:val="08230FB8"/>
    <w:rsid w:val="082A74C0"/>
    <w:rsid w:val="0854758E"/>
    <w:rsid w:val="08992D34"/>
    <w:rsid w:val="09132265"/>
    <w:rsid w:val="0ABC363A"/>
    <w:rsid w:val="0AD8294B"/>
    <w:rsid w:val="0AF12517"/>
    <w:rsid w:val="0B397A56"/>
    <w:rsid w:val="0B4B3B00"/>
    <w:rsid w:val="0B82629A"/>
    <w:rsid w:val="0B8A23C1"/>
    <w:rsid w:val="0B9903D2"/>
    <w:rsid w:val="0BAE3813"/>
    <w:rsid w:val="0BD04822"/>
    <w:rsid w:val="0C953DB4"/>
    <w:rsid w:val="0CC442CE"/>
    <w:rsid w:val="0CF32576"/>
    <w:rsid w:val="0D374B59"/>
    <w:rsid w:val="0D4D2FC1"/>
    <w:rsid w:val="0DA25D4B"/>
    <w:rsid w:val="0E0362D5"/>
    <w:rsid w:val="0E966A8C"/>
    <w:rsid w:val="0EDB5D44"/>
    <w:rsid w:val="0EE61CD2"/>
    <w:rsid w:val="0F074C7E"/>
    <w:rsid w:val="0F580754"/>
    <w:rsid w:val="0F6D24BC"/>
    <w:rsid w:val="0F7D537E"/>
    <w:rsid w:val="0F803E6A"/>
    <w:rsid w:val="10007707"/>
    <w:rsid w:val="10817822"/>
    <w:rsid w:val="10A903E1"/>
    <w:rsid w:val="10CD1330"/>
    <w:rsid w:val="10D97CD5"/>
    <w:rsid w:val="11063FEA"/>
    <w:rsid w:val="113B44EC"/>
    <w:rsid w:val="113F222E"/>
    <w:rsid w:val="117864CE"/>
    <w:rsid w:val="11904838"/>
    <w:rsid w:val="11AB711C"/>
    <w:rsid w:val="11AC2382"/>
    <w:rsid w:val="11BB562D"/>
    <w:rsid w:val="11CC3396"/>
    <w:rsid w:val="11CC5FDB"/>
    <w:rsid w:val="127C439D"/>
    <w:rsid w:val="12B409FA"/>
    <w:rsid w:val="12F015A0"/>
    <w:rsid w:val="12FE1529"/>
    <w:rsid w:val="13113756"/>
    <w:rsid w:val="134C3538"/>
    <w:rsid w:val="13984494"/>
    <w:rsid w:val="13AF03BF"/>
    <w:rsid w:val="13CB1888"/>
    <w:rsid w:val="13CB7DA9"/>
    <w:rsid w:val="14477BA7"/>
    <w:rsid w:val="146124BC"/>
    <w:rsid w:val="15031585"/>
    <w:rsid w:val="1517701E"/>
    <w:rsid w:val="15245B82"/>
    <w:rsid w:val="15656E31"/>
    <w:rsid w:val="15B305AF"/>
    <w:rsid w:val="16005D04"/>
    <w:rsid w:val="169263C8"/>
    <w:rsid w:val="16A61788"/>
    <w:rsid w:val="16CE195E"/>
    <w:rsid w:val="16E178E4"/>
    <w:rsid w:val="17666D47"/>
    <w:rsid w:val="177A5491"/>
    <w:rsid w:val="17AE0784"/>
    <w:rsid w:val="17F21A0E"/>
    <w:rsid w:val="18657359"/>
    <w:rsid w:val="187D3DBA"/>
    <w:rsid w:val="18820C52"/>
    <w:rsid w:val="18A1732B"/>
    <w:rsid w:val="18A22011"/>
    <w:rsid w:val="18BC4109"/>
    <w:rsid w:val="18C82B09"/>
    <w:rsid w:val="18DF7E53"/>
    <w:rsid w:val="18E77AF5"/>
    <w:rsid w:val="190D49C0"/>
    <w:rsid w:val="193260E4"/>
    <w:rsid w:val="19793E03"/>
    <w:rsid w:val="197E58BE"/>
    <w:rsid w:val="19835197"/>
    <w:rsid w:val="198D5B01"/>
    <w:rsid w:val="19996254"/>
    <w:rsid w:val="199A25AF"/>
    <w:rsid w:val="19C702DF"/>
    <w:rsid w:val="1A4F2C83"/>
    <w:rsid w:val="1AD2708F"/>
    <w:rsid w:val="1ADA5BDA"/>
    <w:rsid w:val="1AE62F2F"/>
    <w:rsid w:val="1B291859"/>
    <w:rsid w:val="1B5F5046"/>
    <w:rsid w:val="1B9509DF"/>
    <w:rsid w:val="1BA002D8"/>
    <w:rsid w:val="1BCA587C"/>
    <w:rsid w:val="1BF12377"/>
    <w:rsid w:val="1C0604EE"/>
    <w:rsid w:val="1C2E1D71"/>
    <w:rsid w:val="1C3D55BC"/>
    <w:rsid w:val="1CAC4347"/>
    <w:rsid w:val="1D1C1092"/>
    <w:rsid w:val="1D605A5A"/>
    <w:rsid w:val="1DB57558"/>
    <w:rsid w:val="1DBC4C07"/>
    <w:rsid w:val="1DFD1285"/>
    <w:rsid w:val="1E4F5A7B"/>
    <w:rsid w:val="1EC70509"/>
    <w:rsid w:val="1EF1152D"/>
    <w:rsid w:val="1F4A0271"/>
    <w:rsid w:val="1F6D61B8"/>
    <w:rsid w:val="1F7F5EEC"/>
    <w:rsid w:val="1F901EA7"/>
    <w:rsid w:val="1FC7762D"/>
    <w:rsid w:val="1FF56C89"/>
    <w:rsid w:val="20250841"/>
    <w:rsid w:val="20360CA0"/>
    <w:rsid w:val="20733730"/>
    <w:rsid w:val="20955535"/>
    <w:rsid w:val="20A83FAF"/>
    <w:rsid w:val="21076199"/>
    <w:rsid w:val="215025DE"/>
    <w:rsid w:val="217E28FF"/>
    <w:rsid w:val="21CC717D"/>
    <w:rsid w:val="22424AA4"/>
    <w:rsid w:val="22B660C8"/>
    <w:rsid w:val="22F62B8A"/>
    <w:rsid w:val="23254D08"/>
    <w:rsid w:val="23343DB4"/>
    <w:rsid w:val="23534E2B"/>
    <w:rsid w:val="23C86484"/>
    <w:rsid w:val="23F453AC"/>
    <w:rsid w:val="241C01AD"/>
    <w:rsid w:val="242157C3"/>
    <w:rsid w:val="242C02D7"/>
    <w:rsid w:val="24533DC2"/>
    <w:rsid w:val="253024AD"/>
    <w:rsid w:val="2532334D"/>
    <w:rsid w:val="258C17E7"/>
    <w:rsid w:val="259F2E44"/>
    <w:rsid w:val="25A51DF6"/>
    <w:rsid w:val="262034AF"/>
    <w:rsid w:val="26750FF7"/>
    <w:rsid w:val="268F110A"/>
    <w:rsid w:val="26E96B7F"/>
    <w:rsid w:val="27005C27"/>
    <w:rsid w:val="270B45D7"/>
    <w:rsid w:val="27194423"/>
    <w:rsid w:val="27290FC5"/>
    <w:rsid w:val="275A1F7C"/>
    <w:rsid w:val="275D4D64"/>
    <w:rsid w:val="281C077C"/>
    <w:rsid w:val="28FE41FC"/>
    <w:rsid w:val="292F2731"/>
    <w:rsid w:val="29345C52"/>
    <w:rsid w:val="295166A2"/>
    <w:rsid w:val="298F67F1"/>
    <w:rsid w:val="2996274E"/>
    <w:rsid w:val="29A7676B"/>
    <w:rsid w:val="2A187669"/>
    <w:rsid w:val="2A4648B7"/>
    <w:rsid w:val="2A4D53A0"/>
    <w:rsid w:val="2A8F792B"/>
    <w:rsid w:val="2AEF273F"/>
    <w:rsid w:val="2B005440"/>
    <w:rsid w:val="2B006F1E"/>
    <w:rsid w:val="2B367DA6"/>
    <w:rsid w:val="2BC96E6C"/>
    <w:rsid w:val="2C03574A"/>
    <w:rsid w:val="2C0F2F6A"/>
    <w:rsid w:val="2C7B3B05"/>
    <w:rsid w:val="2C9878F1"/>
    <w:rsid w:val="2CC277F5"/>
    <w:rsid w:val="2CCD64E8"/>
    <w:rsid w:val="2CD01D46"/>
    <w:rsid w:val="2CDD22AB"/>
    <w:rsid w:val="2CF558C1"/>
    <w:rsid w:val="2CFD71B2"/>
    <w:rsid w:val="2D263D7D"/>
    <w:rsid w:val="2DDD6EF4"/>
    <w:rsid w:val="2DEA4E78"/>
    <w:rsid w:val="2E2B7074"/>
    <w:rsid w:val="2E5834DA"/>
    <w:rsid w:val="2E5E7AF7"/>
    <w:rsid w:val="2E9D013C"/>
    <w:rsid w:val="2EE73822"/>
    <w:rsid w:val="2F1E74CF"/>
    <w:rsid w:val="2F4709E3"/>
    <w:rsid w:val="2F9B28BE"/>
    <w:rsid w:val="2FAD4FD9"/>
    <w:rsid w:val="2FB346FB"/>
    <w:rsid w:val="2FEE50F3"/>
    <w:rsid w:val="2FFA5778"/>
    <w:rsid w:val="30441A12"/>
    <w:rsid w:val="30495C84"/>
    <w:rsid w:val="30650005"/>
    <w:rsid w:val="310333AD"/>
    <w:rsid w:val="311C17EC"/>
    <w:rsid w:val="31367EA1"/>
    <w:rsid w:val="31450619"/>
    <w:rsid w:val="31522189"/>
    <w:rsid w:val="31EE27EE"/>
    <w:rsid w:val="31F91B2E"/>
    <w:rsid w:val="329E6CD8"/>
    <w:rsid w:val="32A83BE9"/>
    <w:rsid w:val="33150BE9"/>
    <w:rsid w:val="33440753"/>
    <w:rsid w:val="337551E4"/>
    <w:rsid w:val="33773E42"/>
    <w:rsid w:val="3381627F"/>
    <w:rsid w:val="345179FF"/>
    <w:rsid w:val="346314E0"/>
    <w:rsid w:val="349618B6"/>
    <w:rsid w:val="34A57D4B"/>
    <w:rsid w:val="34CB0B62"/>
    <w:rsid w:val="34E14EA2"/>
    <w:rsid w:val="34E346A0"/>
    <w:rsid w:val="35062A17"/>
    <w:rsid w:val="35494B7A"/>
    <w:rsid w:val="356B4AF0"/>
    <w:rsid w:val="359758E5"/>
    <w:rsid w:val="359B1151"/>
    <w:rsid w:val="35AD49A2"/>
    <w:rsid w:val="35F03248"/>
    <w:rsid w:val="36150393"/>
    <w:rsid w:val="36172BC3"/>
    <w:rsid w:val="362804CC"/>
    <w:rsid w:val="36501005"/>
    <w:rsid w:val="36625EF3"/>
    <w:rsid w:val="36CC7C95"/>
    <w:rsid w:val="36EA20AF"/>
    <w:rsid w:val="36EB650A"/>
    <w:rsid w:val="37135440"/>
    <w:rsid w:val="372413FB"/>
    <w:rsid w:val="376149D7"/>
    <w:rsid w:val="378133A9"/>
    <w:rsid w:val="37A6339A"/>
    <w:rsid w:val="37AC319E"/>
    <w:rsid w:val="382E4D8D"/>
    <w:rsid w:val="383A233E"/>
    <w:rsid w:val="388C7258"/>
    <w:rsid w:val="389B008E"/>
    <w:rsid w:val="38C73172"/>
    <w:rsid w:val="38EE1CC0"/>
    <w:rsid w:val="39101F1B"/>
    <w:rsid w:val="392D7EB3"/>
    <w:rsid w:val="393618B9"/>
    <w:rsid w:val="39720FC7"/>
    <w:rsid w:val="398443D3"/>
    <w:rsid w:val="39B203A1"/>
    <w:rsid w:val="39BA4298"/>
    <w:rsid w:val="39CD52E9"/>
    <w:rsid w:val="39ED2D0E"/>
    <w:rsid w:val="39FC21BB"/>
    <w:rsid w:val="3A0D2A18"/>
    <w:rsid w:val="3A1B59B7"/>
    <w:rsid w:val="3A30175E"/>
    <w:rsid w:val="3A323E2F"/>
    <w:rsid w:val="3A64388F"/>
    <w:rsid w:val="3B0B043D"/>
    <w:rsid w:val="3B4E4C98"/>
    <w:rsid w:val="3B606C7C"/>
    <w:rsid w:val="3B6F13E2"/>
    <w:rsid w:val="3B8F6DC0"/>
    <w:rsid w:val="3BCA6CDA"/>
    <w:rsid w:val="3BDF2457"/>
    <w:rsid w:val="3BE253E0"/>
    <w:rsid w:val="3C2519AA"/>
    <w:rsid w:val="3C4E0CC8"/>
    <w:rsid w:val="3C7D5D17"/>
    <w:rsid w:val="3CAB7EC8"/>
    <w:rsid w:val="3CD236A7"/>
    <w:rsid w:val="3D23372C"/>
    <w:rsid w:val="3D600CB3"/>
    <w:rsid w:val="3DC41242"/>
    <w:rsid w:val="3DF31B27"/>
    <w:rsid w:val="3DF80C94"/>
    <w:rsid w:val="3E064F5A"/>
    <w:rsid w:val="3E161B6B"/>
    <w:rsid w:val="3E7F5998"/>
    <w:rsid w:val="3ECD2378"/>
    <w:rsid w:val="3EF01478"/>
    <w:rsid w:val="3F0056DB"/>
    <w:rsid w:val="3F185CE9"/>
    <w:rsid w:val="3F1A3023"/>
    <w:rsid w:val="3F243A9D"/>
    <w:rsid w:val="3F5860E5"/>
    <w:rsid w:val="3FA7706D"/>
    <w:rsid w:val="4001677D"/>
    <w:rsid w:val="400C5122"/>
    <w:rsid w:val="40350295"/>
    <w:rsid w:val="403723ED"/>
    <w:rsid w:val="406E1D8D"/>
    <w:rsid w:val="40C377CE"/>
    <w:rsid w:val="4104239D"/>
    <w:rsid w:val="41401AF8"/>
    <w:rsid w:val="41A35612"/>
    <w:rsid w:val="41BB6E00"/>
    <w:rsid w:val="42053C57"/>
    <w:rsid w:val="42214BD9"/>
    <w:rsid w:val="42246753"/>
    <w:rsid w:val="42324DFA"/>
    <w:rsid w:val="424961B9"/>
    <w:rsid w:val="42E4524A"/>
    <w:rsid w:val="431353F3"/>
    <w:rsid w:val="432B58BF"/>
    <w:rsid w:val="43332EF2"/>
    <w:rsid w:val="43397FDC"/>
    <w:rsid w:val="43455446"/>
    <w:rsid w:val="436F4174"/>
    <w:rsid w:val="43AC4C52"/>
    <w:rsid w:val="43BF62B5"/>
    <w:rsid w:val="43DE0DC5"/>
    <w:rsid w:val="44DA072F"/>
    <w:rsid w:val="454D0F8E"/>
    <w:rsid w:val="456C2437"/>
    <w:rsid w:val="45E05087"/>
    <w:rsid w:val="45ED3300"/>
    <w:rsid w:val="45F61C6A"/>
    <w:rsid w:val="45FC0A54"/>
    <w:rsid w:val="45FE572D"/>
    <w:rsid w:val="461D469A"/>
    <w:rsid w:val="466976E6"/>
    <w:rsid w:val="46B8390E"/>
    <w:rsid w:val="46CD0E89"/>
    <w:rsid w:val="46DD0C7A"/>
    <w:rsid w:val="46EA0CE7"/>
    <w:rsid w:val="47022DDB"/>
    <w:rsid w:val="470D4256"/>
    <w:rsid w:val="472208AE"/>
    <w:rsid w:val="47271A40"/>
    <w:rsid w:val="47704C41"/>
    <w:rsid w:val="479A2435"/>
    <w:rsid w:val="47B925F3"/>
    <w:rsid w:val="480F755D"/>
    <w:rsid w:val="488A12DA"/>
    <w:rsid w:val="48910AEC"/>
    <w:rsid w:val="48B3170D"/>
    <w:rsid w:val="48C52312"/>
    <w:rsid w:val="493C7DE9"/>
    <w:rsid w:val="49731D6E"/>
    <w:rsid w:val="49885819"/>
    <w:rsid w:val="49A40179"/>
    <w:rsid w:val="49BD5661"/>
    <w:rsid w:val="4A1E13B4"/>
    <w:rsid w:val="4A2C49B0"/>
    <w:rsid w:val="4A555101"/>
    <w:rsid w:val="4A7D1B0F"/>
    <w:rsid w:val="4AA3517B"/>
    <w:rsid w:val="4AAC50D1"/>
    <w:rsid w:val="4B5D2903"/>
    <w:rsid w:val="4C0B03D0"/>
    <w:rsid w:val="4C5A2B74"/>
    <w:rsid w:val="4D2D20D9"/>
    <w:rsid w:val="4D436182"/>
    <w:rsid w:val="4D45598D"/>
    <w:rsid w:val="4D5F4AE3"/>
    <w:rsid w:val="4DA074F7"/>
    <w:rsid w:val="4DA33F07"/>
    <w:rsid w:val="4DB210B7"/>
    <w:rsid w:val="4DD126F1"/>
    <w:rsid w:val="4DDA060D"/>
    <w:rsid w:val="4DDE52C0"/>
    <w:rsid w:val="4E01203E"/>
    <w:rsid w:val="4E086E18"/>
    <w:rsid w:val="4E6A7057"/>
    <w:rsid w:val="4ECC7F56"/>
    <w:rsid w:val="4F44601A"/>
    <w:rsid w:val="4F820F5D"/>
    <w:rsid w:val="4F8E345D"/>
    <w:rsid w:val="50041972"/>
    <w:rsid w:val="50243DC2"/>
    <w:rsid w:val="5080549C"/>
    <w:rsid w:val="50A1397F"/>
    <w:rsid w:val="50EC0741"/>
    <w:rsid w:val="50F32112"/>
    <w:rsid w:val="51257DF2"/>
    <w:rsid w:val="51401959"/>
    <w:rsid w:val="51581F75"/>
    <w:rsid w:val="51583D23"/>
    <w:rsid w:val="51C75DFE"/>
    <w:rsid w:val="51F24178"/>
    <w:rsid w:val="52424793"/>
    <w:rsid w:val="52741FCB"/>
    <w:rsid w:val="527E1EAF"/>
    <w:rsid w:val="52D06B10"/>
    <w:rsid w:val="52EE38DF"/>
    <w:rsid w:val="532F4F57"/>
    <w:rsid w:val="53536515"/>
    <w:rsid w:val="5358785F"/>
    <w:rsid w:val="53697013"/>
    <w:rsid w:val="536B21BA"/>
    <w:rsid w:val="53A862CC"/>
    <w:rsid w:val="542A0FDA"/>
    <w:rsid w:val="547A6F15"/>
    <w:rsid w:val="548C2C5E"/>
    <w:rsid w:val="54A12DC7"/>
    <w:rsid w:val="54AB4AB2"/>
    <w:rsid w:val="54BA4CF5"/>
    <w:rsid w:val="54CE1930"/>
    <w:rsid w:val="54ED53D0"/>
    <w:rsid w:val="55091CCC"/>
    <w:rsid w:val="5549554B"/>
    <w:rsid w:val="556C4241"/>
    <w:rsid w:val="558620D2"/>
    <w:rsid w:val="55872E29"/>
    <w:rsid w:val="55A559A5"/>
    <w:rsid w:val="55BD4A9D"/>
    <w:rsid w:val="55E34225"/>
    <w:rsid w:val="562E599A"/>
    <w:rsid w:val="56307253"/>
    <w:rsid w:val="56382375"/>
    <w:rsid w:val="56453199"/>
    <w:rsid w:val="56705FB3"/>
    <w:rsid w:val="56E16569"/>
    <w:rsid w:val="56F52014"/>
    <w:rsid w:val="570C5CDB"/>
    <w:rsid w:val="57723665"/>
    <w:rsid w:val="578C5187"/>
    <w:rsid w:val="57947A7F"/>
    <w:rsid w:val="57B2722D"/>
    <w:rsid w:val="57D56221"/>
    <w:rsid w:val="582F6DAB"/>
    <w:rsid w:val="58AD45AF"/>
    <w:rsid w:val="58BF28DA"/>
    <w:rsid w:val="58C16652"/>
    <w:rsid w:val="58D4718C"/>
    <w:rsid w:val="59162E41"/>
    <w:rsid w:val="591C7D2C"/>
    <w:rsid w:val="59575208"/>
    <w:rsid w:val="599B3347"/>
    <w:rsid w:val="59A53FC9"/>
    <w:rsid w:val="59A82CA5"/>
    <w:rsid w:val="59AC10B0"/>
    <w:rsid w:val="5A45201E"/>
    <w:rsid w:val="5A6776CD"/>
    <w:rsid w:val="5AD20FEA"/>
    <w:rsid w:val="5AD536B4"/>
    <w:rsid w:val="5ADF7263"/>
    <w:rsid w:val="5AEA4CCC"/>
    <w:rsid w:val="5B031B11"/>
    <w:rsid w:val="5B44356A"/>
    <w:rsid w:val="5B562681"/>
    <w:rsid w:val="5B7B3430"/>
    <w:rsid w:val="5B96574B"/>
    <w:rsid w:val="5BE81608"/>
    <w:rsid w:val="5C10686F"/>
    <w:rsid w:val="5C384E7D"/>
    <w:rsid w:val="5C390BF5"/>
    <w:rsid w:val="5C3D6937"/>
    <w:rsid w:val="5C5A652B"/>
    <w:rsid w:val="5C841E70"/>
    <w:rsid w:val="5C8C6F1F"/>
    <w:rsid w:val="5CE53377"/>
    <w:rsid w:val="5CE565AC"/>
    <w:rsid w:val="5D290C69"/>
    <w:rsid w:val="5D5F230E"/>
    <w:rsid w:val="5DB449D7"/>
    <w:rsid w:val="5DD07337"/>
    <w:rsid w:val="5DE138D8"/>
    <w:rsid w:val="5DEA73A2"/>
    <w:rsid w:val="5E113BD7"/>
    <w:rsid w:val="5E1921ED"/>
    <w:rsid w:val="5E5D6E1D"/>
    <w:rsid w:val="5E9F5687"/>
    <w:rsid w:val="5EB822A5"/>
    <w:rsid w:val="5EFE7A06"/>
    <w:rsid w:val="5F3A0F0C"/>
    <w:rsid w:val="5F426012"/>
    <w:rsid w:val="5F7D5E8E"/>
    <w:rsid w:val="5F7F522A"/>
    <w:rsid w:val="5FAF36A8"/>
    <w:rsid w:val="5FF3732F"/>
    <w:rsid w:val="601337BB"/>
    <w:rsid w:val="604A33D1"/>
    <w:rsid w:val="614F54B5"/>
    <w:rsid w:val="621041A6"/>
    <w:rsid w:val="624274A0"/>
    <w:rsid w:val="624A76B8"/>
    <w:rsid w:val="629551D8"/>
    <w:rsid w:val="62A212A2"/>
    <w:rsid w:val="62A87E16"/>
    <w:rsid w:val="62CA561A"/>
    <w:rsid w:val="6313315F"/>
    <w:rsid w:val="63CD6C1F"/>
    <w:rsid w:val="64A56430"/>
    <w:rsid w:val="64AA193A"/>
    <w:rsid w:val="64CD45D0"/>
    <w:rsid w:val="653F59A1"/>
    <w:rsid w:val="65774F85"/>
    <w:rsid w:val="65815AE7"/>
    <w:rsid w:val="658B24C1"/>
    <w:rsid w:val="658D1CF4"/>
    <w:rsid w:val="65B81F72"/>
    <w:rsid w:val="65BB2793"/>
    <w:rsid w:val="65E72A9D"/>
    <w:rsid w:val="667016B7"/>
    <w:rsid w:val="667027CF"/>
    <w:rsid w:val="6688694C"/>
    <w:rsid w:val="66D02156"/>
    <w:rsid w:val="66FB3677"/>
    <w:rsid w:val="6716225F"/>
    <w:rsid w:val="67D85766"/>
    <w:rsid w:val="681D761D"/>
    <w:rsid w:val="68245589"/>
    <w:rsid w:val="682D3D04"/>
    <w:rsid w:val="686E1C26"/>
    <w:rsid w:val="68777DD2"/>
    <w:rsid w:val="68C31F72"/>
    <w:rsid w:val="68D91796"/>
    <w:rsid w:val="690E1BE8"/>
    <w:rsid w:val="692755DB"/>
    <w:rsid w:val="69362DD6"/>
    <w:rsid w:val="693C2619"/>
    <w:rsid w:val="697F058F"/>
    <w:rsid w:val="69983CE0"/>
    <w:rsid w:val="6A1C1694"/>
    <w:rsid w:val="6A4315BC"/>
    <w:rsid w:val="6A751DB0"/>
    <w:rsid w:val="6AB95533"/>
    <w:rsid w:val="6ADC67EC"/>
    <w:rsid w:val="6AE21FF0"/>
    <w:rsid w:val="6B037E0E"/>
    <w:rsid w:val="6B144E28"/>
    <w:rsid w:val="6B2018FE"/>
    <w:rsid w:val="6B396B3B"/>
    <w:rsid w:val="6BD85D34"/>
    <w:rsid w:val="6BDE41BB"/>
    <w:rsid w:val="6BE9361A"/>
    <w:rsid w:val="6BEE7306"/>
    <w:rsid w:val="6C44786E"/>
    <w:rsid w:val="6C5462A8"/>
    <w:rsid w:val="6C917FD7"/>
    <w:rsid w:val="6CA87DFD"/>
    <w:rsid w:val="6D911E54"/>
    <w:rsid w:val="6D9E4D5C"/>
    <w:rsid w:val="6DB2091A"/>
    <w:rsid w:val="6DCC3677"/>
    <w:rsid w:val="6E0E0133"/>
    <w:rsid w:val="6E470176"/>
    <w:rsid w:val="6EAA68BE"/>
    <w:rsid w:val="6EDB46DC"/>
    <w:rsid w:val="6EFC6F14"/>
    <w:rsid w:val="6F0155A2"/>
    <w:rsid w:val="6F7F5C40"/>
    <w:rsid w:val="6F997ED1"/>
    <w:rsid w:val="6FF62C2D"/>
    <w:rsid w:val="709D754D"/>
    <w:rsid w:val="70D65056"/>
    <w:rsid w:val="70F839F0"/>
    <w:rsid w:val="70FA04FB"/>
    <w:rsid w:val="712D08D1"/>
    <w:rsid w:val="71382C2B"/>
    <w:rsid w:val="71BB7860"/>
    <w:rsid w:val="722F17E6"/>
    <w:rsid w:val="72440385"/>
    <w:rsid w:val="72F64258"/>
    <w:rsid w:val="73245D03"/>
    <w:rsid w:val="736C3AED"/>
    <w:rsid w:val="73761484"/>
    <w:rsid w:val="743F3C99"/>
    <w:rsid w:val="74835482"/>
    <w:rsid w:val="74877DC7"/>
    <w:rsid w:val="748F53FE"/>
    <w:rsid w:val="74EB6FEC"/>
    <w:rsid w:val="74F80974"/>
    <w:rsid w:val="75090455"/>
    <w:rsid w:val="7520560E"/>
    <w:rsid w:val="75890D8F"/>
    <w:rsid w:val="75B043EA"/>
    <w:rsid w:val="75B4336E"/>
    <w:rsid w:val="761F6017"/>
    <w:rsid w:val="76473B19"/>
    <w:rsid w:val="76B80876"/>
    <w:rsid w:val="76B949B4"/>
    <w:rsid w:val="76D90F68"/>
    <w:rsid w:val="770B16B4"/>
    <w:rsid w:val="774A0AB6"/>
    <w:rsid w:val="775A1CF3"/>
    <w:rsid w:val="77680E8A"/>
    <w:rsid w:val="77C1540B"/>
    <w:rsid w:val="77D61377"/>
    <w:rsid w:val="77DD1CAC"/>
    <w:rsid w:val="77EB5041"/>
    <w:rsid w:val="77EC2A14"/>
    <w:rsid w:val="783E7320"/>
    <w:rsid w:val="78425A99"/>
    <w:rsid w:val="788039DC"/>
    <w:rsid w:val="78952D76"/>
    <w:rsid w:val="78A64529"/>
    <w:rsid w:val="78CB19C0"/>
    <w:rsid w:val="78F35EFE"/>
    <w:rsid w:val="78FF5669"/>
    <w:rsid w:val="792A1B99"/>
    <w:rsid w:val="793275BA"/>
    <w:rsid w:val="79A724F1"/>
    <w:rsid w:val="79CC1922"/>
    <w:rsid w:val="79FD047F"/>
    <w:rsid w:val="7A4B7878"/>
    <w:rsid w:val="7A6D100D"/>
    <w:rsid w:val="7A7B26AD"/>
    <w:rsid w:val="7AA15E8B"/>
    <w:rsid w:val="7BE14791"/>
    <w:rsid w:val="7C0D37D8"/>
    <w:rsid w:val="7C3A7485"/>
    <w:rsid w:val="7C5F16F8"/>
    <w:rsid w:val="7C75312C"/>
    <w:rsid w:val="7C9D3E10"/>
    <w:rsid w:val="7CAF2E48"/>
    <w:rsid w:val="7CB122FF"/>
    <w:rsid w:val="7CD95DB0"/>
    <w:rsid w:val="7D697134"/>
    <w:rsid w:val="7D6C09D3"/>
    <w:rsid w:val="7DBA67DE"/>
    <w:rsid w:val="7DF53ACA"/>
    <w:rsid w:val="7E2458E7"/>
    <w:rsid w:val="7EA2525B"/>
    <w:rsid w:val="7EF7251E"/>
    <w:rsid w:val="7F0E4C61"/>
    <w:rsid w:val="7F2552DD"/>
    <w:rsid w:val="7F356741"/>
    <w:rsid w:val="7F7F4C0B"/>
    <w:rsid w:val="7FD4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4">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3">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80" w:firstLineChars="200"/>
    </w:pPr>
    <w:rPr>
      <w:rFonts w:ascii="宋体" w:hAnsi="宋体" w:cs="宋体"/>
      <w:kern w:val="0"/>
      <w:sz w:val="24"/>
    </w:rPr>
  </w:style>
  <w:style w:type="paragraph" w:styleId="5">
    <w:name w:val="Note Heading"/>
    <w:basedOn w:val="1"/>
    <w:next w:val="1"/>
    <w:qFormat/>
    <w:uiPriority w:val="0"/>
    <w:rPr>
      <w:rFonts w:ascii="Verdana" w:hAnsi="Verdana"/>
      <w:szCs w:val="20"/>
    </w:rPr>
  </w:style>
  <w:style w:type="paragraph" w:styleId="6">
    <w:name w:val="annotation text"/>
    <w:basedOn w:val="1"/>
    <w:qFormat/>
    <w:uiPriority w:val="0"/>
    <w:pPr>
      <w:jc w:val="left"/>
    </w:pPr>
  </w:style>
  <w:style w:type="paragraph" w:styleId="7">
    <w:name w:val="footer"/>
    <w:basedOn w:val="1"/>
    <w:link w:val="18"/>
    <w:autoRedefine/>
    <w:qFormat/>
    <w:uiPriority w:val="0"/>
    <w:pPr>
      <w:tabs>
        <w:tab w:val="center" w:pos="4153"/>
        <w:tab w:val="right" w:pos="8306"/>
      </w:tabs>
      <w:snapToGrid w:val="0"/>
      <w:jc w:val="left"/>
    </w:pPr>
    <w:rPr>
      <w:sz w:val="18"/>
      <w:szCs w:val="18"/>
    </w:rPr>
  </w:style>
  <w:style w:type="paragraph" w:styleId="8">
    <w:name w:val="header"/>
    <w:basedOn w:val="1"/>
    <w:link w:val="17"/>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rPr>
  </w:style>
  <w:style w:type="paragraph" w:styleId="10">
    <w:name w:val="Normal (Web)"/>
    <w:basedOn w:val="1"/>
    <w:autoRedefine/>
    <w:qFormat/>
    <w:uiPriority w:val="0"/>
    <w:pPr>
      <w:spacing w:beforeAutospacing="1" w:afterAutospacing="1"/>
      <w:jc w:val="left"/>
    </w:pPr>
    <w:rPr>
      <w:rFonts w:cs="Times New Roman"/>
      <w:kern w:val="0"/>
      <w:sz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Emphasis"/>
    <w:qFormat/>
    <w:uiPriority w:val="0"/>
    <w:rPr>
      <w:i/>
    </w:rPr>
  </w:style>
  <w:style w:type="paragraph" w:customStyle="1" w:styleId="16">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7">
    <w:name w:val="页眉 Char"/>
    <w:basedOn w:val="13"/>
    <w:link w:val="8"/>
    <w:autoRedefine/>
    <w:qFormat/>
    <w:uiPriority w:val="0"/>
    <w:rPr>
      <w:rFonts w:asciiTheme="minorHAnsi" w:hAnsiTheme="minorHAnsi" w:eastAsiaTheme="minorEastAsia" w:cstheme="minorBidi"/>
      <w:kern w:val="2"/>
      <w:sz w:val="18"/>
      <w:szCs w:val="18"/>
    </w:rPr>
  </w:style>
  <w:style w:type="character" w:customStyle="1" w:styleId="18">
    <w:name w:val="页脚 Char"/>
    <w:basedOn w:val="13"/>
    <w:link w:val="7"/>
    <w:autoRedefine/>
    <w:qFormat/>
    <w:uiPriority w:val="0"/>
    <w:rPr>
      <w:rFonts w:asciiTheme="minorHAnsi" w:hAnsiTheme="minorHAnsi" w:eastAsiaTheme="minorEastAsia" w:cstheme="minorBidi"/>
      <w:kern w:val="2"/>
      <w:sz w:val="18"/>
      <w:szCs w:val="18"/>
    </w:rPr>
  </w:style>
  <w:style w:type="paragraph" w:customStyle="1" w:styleId="19">
    <w:name w:val="普通正文"/>
    <w:basedOn w:val="1"/>
    <w:qFormat/>
    <w:uiPriority w:val="0"/>
    <w:pPr>
      <w:adjustRightInd w:val="0"/>
      <w:spacing w:before="120" w:after="120" w:line="360" w:lineRule="auto"/>
      <w:ind w:firstLine="480"/>
      <w:jc w:val="left"/>
    </w:pPr>
    <w:rPr>
      <w:rFonts w:ascii="Arial" w:hAnsi="Arial" w:eastAsia="等线" w:cs="Arial"/>
      <w:sz w:val="24"/>
    </w:rPr>
  </w:style>
  <w:style w:type="paragraph" w:customStyle="1" w:styleId="20">
    <w:name w:val="正文首行缩进 21"/>
    <w:basedOn w:val="21"/>
    <w:qFormat/>
    <w:uiPriority w:val="0"/>
    <w:pPr>
      <w:ind w:firstLine="420"/>
    </w:pPr>
  </w:style>
  <w:style w:type="paragraph" w:customStyle="1" w:styleId="21">
    <w:name w:val="正文文本缩进1"/>
    <w:basedOn w:val="1"/>
    <w:qFormat/>
    <w:uiPriority w:val="0"/>
    <w:pPr>
      <w:spacing w:after="120"/>
      <w:ind w:left="420"/>
    </w:pPr>
  </w:style>
  <w:style w:type="character" w:customStyle="1" w:styleId="22">
    <w:name w:val="font21"/>
    <w:basedOn w:val="13"/>
    <w:qFormat/>
    <w:uiPriority w:val="0"/>
    <w:rPr>
      <w:rFonts w:hint="eastAsia" w:ascii="宋体" w:hAnsi="宋体" w:eastAsia="宋体" w:cs="宋体"/>
      <w:b/>
      <w:bCs/>
      <w:color w:val="000000"/>
      <w:sz w:val="24"/>
      <w:szCs w:val="24"/>
      <w:u w:val="none"/>
    </w:rPr>
  </w:style>
  <w:style w:type="character" w:customStyle="1" w:styleId="23">
    <w:name w:val="font11"/>
    <w:basedOn w:val="13"/>
    <w:qFormat/>
    <w:uiPriority w:val="0"/>
    <w:rPr>
      <w:rFonts w:hint="eastAsia" w:ascii="宋体" w:hAnsi="宋体" w:eastAsia="宋体" w:cs="宋体"/>
      <w:color w:val="000000"/>
      <w:sz w:val="24"/>
      <w:szCs w:val="24"/>
      <w:u w:val="none"/>
    </w:rPr>
  </w:style>
  <w:style w:type="character" w:customStyle="1" w:styleId="24">
    <w:name w:val="font71"/>
    <w:basedOn w:val="13"/>
    <w:qFormat/>
    <w:uiPriority w:val="0"/>
    <w:rPr>
      <w:rFonts w:hint="eastAsia" w:ascii="宋体" w:hAnsi="宋体" w:eastAsia="宋体" w:cs="宋体"/>
      <w:b/>
      <w:bCs/>
      <w:color w:val="000000"/>
      <w:sz w:val="24"/>
      <w:szCs w:val="24"/>
      <w:u w:val="single"/>
    </w:rPr>
  </w:style>
  <w:style w:type="character" w:customStyle="1" w:styleId="25">
    <w:name w:val="font81"/>
    <w:basedOn w:val="13"/>
    <w:qFormat/>
    <w:uiPriority w:val="0"/>
    <w:rPr>
      <w:rFonts w:hint="eastAsia" w:ascii="宋体" w:hAnsi="宋体" w:eastAsia="宋体" w:cs="宋体"/>
      <w:color w:val="000000"/>
      <w:sz w:val="24"/>
      <w:szCs w:val="24"/>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58</Pages>
  <Words>26270</Words>
  <Characters>27695</Characters>
  <Lines>273</Lines>
  <Paragraphs>76</Paragraphs>
  <TotalTime>2</TotalTime>
  <ScaleCrop>false</ScaleCrop>
  <LinksUpToDate>false</LinksUpToDate>
  <CharactersWithSpaces>28277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红星的光芒</cp:lastModifiedBy>
  <dcterms:modified xsi:type="dcterms:W3CDTF">2026-05-26T07:45:58Z</dcterms:modified>
  <cp:revision>196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13A8A34D74D44BFA8232E132C3FC163A_13</vt:lpwstr>
  </property>
  <property fmtid="{D5CDD505-2E9C-101B-9397-08002B2CF9AE}" pid="4" name="KSOTemplateDocerSaveRecord">
    <vt:lpwstr>eyJoZGlkIjoiZTUwZjUxMTMyNDc5YWQ4ZWJlMThhMGZlNTA3YWEyYTciLCJ1c2VySWQiOiI0MjQ2NTM5OTcifQ==</vt:lpwstr>
  </property>
</Properties>
</file>